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7128A2" w:rsidRPr="007128A2" w14:paraId="320AECEB" w14:textId="77777777" w:rsidTr="007128A2">
        <w:tc>
          <w:tcPr>
            <w:tcW w:w="0" w:type="auto"/>
            <w:shd w:val="clear" w:color="auto" w:fill="FFFFFF"/>
            <w:vAlign w:val="center"/>
            <w:hideMark/>
          </w:tcPr>
          <w:p w14:paraId="5A4D15C3" w14:textId="77777777" w:rsidR="007128A2" w:rsidRPr="007128A2" w:rsidRDefault="007128A2" w:rsidP="007128A2">
            <w:pPr>
              <w:spacing w:after="0" w:line="240" w:lineRule="auto"/>
              <w:rPr>
                <w:rFonts w:ascii="Oswald" w:eastAsia="Times New Roman" w:hAnsi="Oswald" w:cs="Arial"/>
                <w:color w:val="3B3F44"/>
                <w:kern w:val="0"/>
                <w:sz w:val="24"/>
                <w:szCs w:val="24"/>
                <w:lang w:eastAsia="es-UY"/>
                <w14:ligatures w14:val="none"/>
              </w:rPr>
            </w:pPr>
            <w:r w:rsidRPr="007128A2">
              <w:rPr>
                <w:rFonts w:ascii="Verdana" w:eastAsia="Times New Roman" w:hAnsi="Verdana" w:cs="Arial"/>
                <w:b/>
                <w:bCs/>
                <w:color w:val="3B3F44"/>
                <w:kern w:val="0"/>
                <w:sz w:val="36"/>
                <w:szCs w:val="36"/>
                <w:lang w:eastAsia="es-UY"/>
                <w14:ligatures w14:val="none"/>
              </w:rPr>
              <w:t>Agua para la vida: </w:t>
            </w:r>
          </w:p>
          <w:p w14:paraId="5A48B314" w14:textId="77777777" w:rsidR="007128A2" w:rsidRPr="007128A2" w:rsidRDefault="007128A2" w:rsidP="007128A2">
            <w:pPr>
              <w:spacing w:after="0" w:line="240" w:lineRule="auto"/>
              <w:rPr>
                <w:rFonts w:ascii="Oswald" w:eastAsia="Times New Roman" w:hAnsi="Oswald" w:cs="Arial"/>
                <w:color w:val="3B3F44"/>
                <w:kern w:val="0"/>
                <w:sz w:val="24"/>
                <w:szCs w:val="24"/>
                <w:lang w:eastAsia="es-UY"/>
                <w14:ligatures w14:val="none"/>
              </w:rPr>
            </w:pPr>
            <w:r w:rsidRPr="007128A2">
              <w:rPr>
                <w:rFonts w:ascii="Verdana" w:eastAsia="Times New Roman" w:hAnsi="Verdana" w:cs="Arial"/>
                <w:b/>
                <w:bCs/>
                <w:color w:val="3B3F44"/>
                <w:kern w:val="0"/>
                <w:sz w:val="36"/>
                <w:szCs w:val="36"/>
                <w:lang w:eastAsia="es-UY"/>
                <w14:ligatures w14:val="none"/>
              </w:rPr>
              <w:t xml:space="preserve">la lucha del Ayllu San Agustín de </w:t>
            </w:r>
            <w:proofErr w:type="spellStart"/>
            <w:r w:rsidRPr="007128A2">
              <w:rPr>
                <w:rFonts w:ascii="Verdana" w:eastAsia="Times New Roman" w:hAnsi="Verdana" w:cs="Arial"/>
                <w:b/>
                <w:bCs/>
                <w:color w:val="3B3F44"/>
                <w:kern w:val="0"/>
                <w:sz w:val="36"/>
                <w:szCs w:val="36"/>
                <w:lang w:eastAsia="es-UY"/>
                <w14:ligatures w14:val="none"/>
              </w:rPr>
              <w:t>Puñaca</w:t>
            </w:r>
            <w:proofErr w:type="spellEnd"/>
            <w:r w:rsidRPr="007128A2">
              <w:rPr>
                <w:rFonts w:ascii="Verdana" w:eastAsia="Times New Roman" w:hAnsi="Verdana" w:cs="Arial"/>
                <w:b/>
                <w:bCs/>
                <w:color w:val="3B3F44"/>
                <w:kern w:val="0"/>
                <w:sz w:val="36"/>
                <w:szCs w:val="36"/>
                <w:lang w:eastAsia="es-UY"/>
                <w14:ligatures w14:val="none"/>
              </w:rPr>
              <w:t> </w:t>
            </w:r>
          </w:p>
        </w:tc>
      </w:tr>
      <w:tr w:rsidR="007128A2" w:rsidRPr="007128A2" w14:paraId="0C002C61" w14:textId="77777777" w:rsidTr="007128A2">
        <w:tc>
          <w:tcPr>
            <w:tcW w:w="0" w:type="auto"/>
            <w:shd w:val="clear" w:color="auto" w:fill="FFFFFF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  <w:hideMark/>
          </w:tcPr>
          <w:p w14:paraId="682FC75D" w14:textId="77777777" w:rsidR="007128A2" w:rsidRPr="007128A2" w:rsidRDefault="007128A2" w:rsidP="007128A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222222"/>
                <w:kern w:val="0"/>
                <w:sz w:val="2"/>
                <w:szCs w:val="2"/>
                <w:lang w:eastAsia="es-UY"/>
                <w14:ligatures w14:val="none"/>
              </w:rPr>
            </w:pPr>
            <w:r w:rsidRPr="007128A2">
              <w:rPr>
                <w:rFonts w:ascii="Arial" w:eastAsia="Times New Roman" w:hAnsi="Arial" w:cs="Arial"/>
                <w:noProof/>
                <w:color w:val="2A7AAA"/>
                <w:kern w:val="0"/>
                <w:sz w:val="2"/>
                <w:szCs w:val="2"/>
                <w:lang w:eastAsia="es-UY"/>
                <w14:ligatures w14:val="none"/>
              </w:rPr>
              <w:drawing>
                <wp:inline distT="0" distB="0" distL="0" distR="0" wp14:anchorId="1B62C576" wp14:editId="25240ADE">
                  <wp:extent cx="5429250" cy="3613150"/>
                  <wp:effectExtent l="0" t="0" r="0" b="6350"/>
                  <wp:docPr id="1" name="Imagen 1" descr="Un par de personas en una playa&#10;&#10;El contenido generado por IA puede ser incorrecto.">
                    <a:hlinkClick xmlns:a="http://schemas.openxmlformats.org/drawingml/2006/main" r:id="rId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Un par de personas en una playa&#10;&#10;El contenido generado por IA puede ser incorrecto.">
                            <a:hlinkClick r:id="rId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361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28A2" w:rsidRPr="007128A2" w14:paraId="17B87B66" w14:textId="77777777" w:rsidTr="007128A2"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7128A2" w:rsidRPr="007128A2" w14:paraId="1BF43142" w14:textId="77777777">
              <w:tc>
                <w:tcPr>
                  <w:tcW w:w="0" w:type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hideMark/>
                </w:tcPr>
                <w:p w14:paraId="7DB346CC" w14:textId="77777777" w:rsidR="007128A2" w:rsidRPr="007128A2" w:rsidRDefault="007128A2" w:rsidP="007128A2">
                  <w:pPr>
                    <w:spacing w:after="0" w:line="240" w:lineRule="auto"/>
                    <w:jc w:val="both"/>
                    <w:rPr>
                      <w:rFonts w:ascii="Oswald" w:eastAsia="Times New Roman" w:hAnsi="Oswald" w:cs="Times New Roman"/>
                      <w:color w:val="3B3F44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7128A2">
                    <w:rPr>
                      <w:rFonts w:ascii="Verdana" w:eastAsia="Times New Roman" w:hAnsi="Verdana" w:cs="Times New Roman"/>
                      <w:color w:val="3B3F44"/>
                      <w:kern w:val="0"/>
                      <w:sz w:val="20"/>
                      <w:szCs w:val="20"/>
                      <w:lang w:eastAsia="es-UY"/>
                      <w14:ligatures w14:val="none"/>
                    </w:rPr>
                    <w:t xml:space="preserve">"Agua para la vida" retrata la lucha del Ayllu San Agustín de </w:t>
                  </w:r>
                  <w:proofErr w:type="spellStart"/>
                  <w:r w:rsidRPr="007128A2">
                    <w:rPr>
                      <w:rFonts w:ascii="Verdana" w:eastAsia="Times New Roman" w:hAnsi="Verdana" w:cs="Times New Roman"/>
                      <w:color w:val="3B3F44"/>
                      <w:kern w:val="0"/>
                      <w:sz w:val="20"/>
                      <w:szCs w:val="20"/>
                      <w:lang w:eastAsia="es-UY"/>
                      <w14:ligatures w14:val="none"/>
                    </w:rPr>
                    <w:t>Puñaca</w:t>
                  </w:r>
                  <w:proofErr w:type="spellEnd"/>
                  <w:r w:rsidRPr="007128A2">
                    <w:rPr>
                      <w:rFonts w:ascii="Verdana" w:eastAsia="Times New Roman" w:hAnsi="Verdana" w:cs="Times New Roman"/>
                      <w:color w:val="3B3F44"/>
                      <w:kern w:val="0"/>
                      <w:sz w:val="20"/>
                      <w:szCs w:val="20"/>
                      <w:lang w:eastAsia="es-UY"/>
                      <w14:ligatures w14:val="none"/>
                    </w:rPr>
                    <w:t>, un territorio indígena ubicado en Oruro, Bolivia, que históricamente ha enfrentado impactos devastadores en el agua, el suelo, el aire y la salud de sus habitantes, como consecuencia de la contaminación por metales pesados provenientes de la actividad minera. </w:t>
                  </w:r>
                </w:p>
                <w:p w14:paraId="61AFFDD6" w14:textId="77777777" w:rsidR="007128A2" w:rsidRPr="007128A2" w:rsidRDefault="007128A2" w:rsidP="007128A2">
                  <w:pPr>
                    <w:spacing w:after="0" w:line="240" w:lineRule="auto"/>
                    <w:jc w:val="both"/>
                    <w:rPr>
                      <w:rFonts w:ascii="Oswald" w:eastAsia="Times New Roman" w:hAnsi="Oswald" w:cs="Times New Roman"/>
                      <w:color w:val="3B3F44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7128A2">
                    <w:rPr>
                      <w:rFonts w:ascii="Oswald" w:eastAsia="Times New Roman" w:hAnsi="Oswald" w:cs="Times New Roman"/>
                      <w:color w:val="3B3F44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 </w:t>
                  </w:r>
                </w:p>
                <w:p w14:paraId="37A9F327" w14:textId="77777777" w:rsidR="007128A2" w:rsidRPr="007128A2" w:rsidRDefault="007128A2" w:rsidP="007128A2">
                  <w:pPr>
                    <w:spacing w:after="0" w:line="240" w:lineRule="auto"/>
                    <w:jc w:val="both"/>
                    <w:rPr>
                      <w:rFonts w:ascii="Oswald" w:eastAsia="Times New Roman" w:hAnsi="Oswald" w:cs="Times New Roman"/>
                      <w:color w:val="3B3F44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7128A2">
                    <w:rPr>
                      <w:rFonts w:ascii="Verdana" w:eastAsia="Times New Roman" w:hAnsi="Verdana" w:cs="Times New Roman"/>
                      <w:color w:val="3B3F44"/>
                      <w:kern w:val="0"/>
                      <w:sz w:val="20"/>
                      <w:szCs w:val="20"/>
                      <w:lang w:eastAsia="es-UY"/>
                      <w14:ligatures w14:val="none"/>
                    </w:rPr>
                    <w:t xml:space="preserve">En 2021, las comunidades presentaron una Acción Popular ante el Tribunal de Justicia para exigir que los responsables —la empresa estatal minera </w:t>
                  </w:r>
                  <w:proofErr w:type="spellStart"/>
                  <w:r w:rsidRPr="007128A2">
                    <w:rPr>
                      <w:rFonts w:ascii="Verdana" w:eastAsia="Times New Roman" w:hAnsi="Verdana" w:cs="Times New Roman"/>
                      <w:color w:val="3B3F44"/>
                      <w:kern w:val="0"/>
                      <w:sz w:val="20"/>
                      <w:szCs w:val="20"/>
                      <w:lang w:eastAsia="es-UY"/>
                      <w14:ligatures w14:val="none"/>
                    </w:rPr>
                    <w:t>Minera</w:t>
                  </w:r>
                  <w:proofErr w:type="spellEnd"/>
                  <w:r w:rsidRPr="007128A2">
                    <w:rPr>
                      <w:rFonts w:ascii="Verdana" w:eastAsia="Times New Roman" w:hAnsi="Verdana" w:cs="Times New Roman"/>
                      <w:color w:val="3B3F44"/>
                      <w:kern w:val="0"/>
                      <w:sz w:val="20"/>
                      <w:szCs w:val="20"/>
                      <w:lang w:eastAsia="es-UY"/>
                      <w14:ligatures w14:val="none"/>
                    </w:rPr>
                    <w:t xml:space="preserve"> Huanuni, así como las autoridades nacionales y subnacionales— tomen medidas concretas para garantizar los derechos y reparar los daños causados al Ayllu. Sin embargo, hasta el momento, el Ayllu San Agustín de </w:t>
                  </w:r>
                  <w:proofErr w:type="spellStart"/>
                  <w:r w:rsidRPr="007128A2">
                    <w:rPr>
                      <w:rFonts w:ascii="Verdana" w:eastAsia="Times New Roman" w:hAnsi="Verdana" w:cs="Times New Roman"/>
                      <w:color w:val="3B3F44"/>
                      <w:kern w:val="0"/>
                      <w:sz w:val="20"/>
                      <w:szCs w:val="20"/>
                      <w:lang w:eastAsia="es-UY"/>
                      <w14:ligatures w14:val="none"/>
                    </w:rPr>
                    <w:t>Puñaca</w:t>
                  </w:r>
                  <w:proofErr w:type="spellEnd"/>
                  <w:r w:rsidRPr="007128A2">
                    <w:rPr>
                      <w:rFonts w:ascii="Verdana" w:eastAsia="Times New Roman" w:hAnsi="Verdana" w:cs="Times New Roman"/>
                      <w:color w:val="3B3F44"/>
                      <w:kern w:val="0"/>
                      <w:sz w:val="20"/>
                      <w:szCs w:val="20"/>
                      <w:lang w:eastAsia="es-UY"/>
                      <w14:ligatures w14:val="none"/>
                    </w:rPr>
                    <w:t xml:space="preserve"> continúa enfrentando una sistemática indiferencia por parte del Estado boliviano. </w:t>
                  </w:r>
                </w:p>
                <w:p w14:paraId="0DE1F50A" w14:textId="77777777" w:rsidR="007128A2" w:rsidRPr="007128A2" w:rsidRDefault="007128A2" w:rsidP="007128A2">
                  <w:pPr>
                    <w:spacing w:after="0" w:line="240" w:lineRule="auto"/>
                    <w:jc w:val="both"/>
                    <w:rPr>
                      <w:rFonts w:ascii="Oswald" w:eastAsia="Times New Roman" w:hAnsi="Oswald" w:cs="Times New Roman"/>
                      <w:color w:val="3B3F44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7128A2">
                    <w:rPr>
                      <w:rFonts w:ascii="Oswald" w:eastAsia="Times New Roman" w:hAnsi="Oswald" w:cs="Times New Roman"/>
                      <w:color w:val="3B3F44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 </w:t>
                  </w:r>
                </w:p>
                <w:p w14:paraId="30823A41" w14:textId="77777777" w:rsidR="007128A2" w:rsidRPr="007128A2" w:rsidRDefault="007128A2" w:rsidP="007128A2">
                  <w:pPr>
                    <w:spacing w:after="0" w:line="240" w:lineRule="auto"/>
                    <w:jc w:val="both"/>
                    <w:rPr>
                      <w:rFonts w:ascii="Oswald" w:eastAsia="Times New Roman" w:hAnsi="Oswald" w:cs="Times New Roman"/>
                      <w:color w:val="3B3F44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7128A2">
                    <w:rPr>
                      <w:rFonts w:ascii="Verdana" w:eastAsia="Times New Roman" w:hAnsi="Verdana" w:cs="Times New Roman"/>
                      <w:color w:val="3B3F44"/>
                      <w:kern w:val="0"/>
                      <w:sz w:val="20"/>
                      <w:szCs w:val="20"/>
                      <w:lang w:eastAsia="es-UY"/>
                      <w14:ligatures w14:val="none"/>
                    </w:rPr>
                    <w:t>La resistencia del Ayllu es un testimonio vivo de dignidad, fuerza y lucha colectiva en defensa de su territorio y de su vínculo ancestral con la tierra. A pesar de la contaminación, las enfermedades y el abandono, la lucha del Ayllu sigue firme, sosteniendo con convicción la resistencia contra la injusticia y exigiendo el respeto a su derecho al agua, a un medio ambiente sano y a la vida. </w:t>
                  </w:r>
                </w:p>
                <w:p w14:paraId="0F019D3E" w14:textId="77777777" w:rsidR="007128A2" w:rsidRPr="007128A2" w:rsidRDefault="007128A2" w:rsidP="007128A2">
                  <w:pPr>
                    <w:spacing w:after="0" w:line="240" w:lineRule="auto"/>
                    <w:jc w:val="both"/>
                    <w:rPr>
                      <w:rFonts w:ascii="Oswald" w:eastAsia="Times New Roman" w:hAnsi="Oswald" w:cs="Times New Roman"/>
                      <w:color w:val="3B3F44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7128A2">
                    <w:rPr>
                      <w:rFonts w:ascii="Oswald" w:eastAsia="Times New Roman" w:hAnsi="Oswald" w:cs="Times New Roman"/>
                      <w:color w:val="3B3F44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 </w:t>
                  </w:r>
                </w:p>
                <w:p w14:paraId="4BFA0DE4" w14:textId="77777777" w:rsidR="007128A2" w:rsidRPr="007128A2" w:rsidRDefault="007128A2" w:rsidP="007128A2">
                  <w:pPr>
                    <w:spacing w:after="0" w:line="240" w:lineRule="auto"/>
                    <w:jc w:val="both"/>
                    <w:rPr>
                      <w:rFonts w:ascii="Oswald" w:eastAsia="Times New Roman" w:hAnsi="Oswald" w:cs="Times New Roman"/>
                      <w:color w:val="3B3F44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7128A2">
                    <w:rPr>
                      <w:rFonts w:ascii="Verdana" w:eastAsia="Times New Roman" w:hAnsi="Verdana" w:cs="Times New Roman"/>
                      <w:color w:val="3B3F44"/>
                      <w:kern w:val="0"/>
                      <w:sz w:val="20"/>
                      <w:szCs w:val="20"/>
                      <w:lang w:eastAsia="es-UY"/>
                      <w14:ligatures w14:val="none"/>
                    </w:rPr>
                    <w:t>Una producción de IWGIA, con el apoyo de CENDA.</w:t>
                  </w:r>
                </w:p>
                <w:p w14:paraId="52F3D0C6" w14:textId="77777777" w:rsidR="007128A2" w:rsidRPr="007128A2" w:rsidRDefault="007128A2" w:rsidP="007128A2">
                  <w:pPr>
                    <w:spacing w:after="0" w:line="240" w:lineRule="auto"/>
                    <w:jc w:val="both"/>
                    <w:rPr>
                      <w:rFonts w:ascii="Oswald" w:eastAsia="Times New Roman" w:hAnsi="Oswald" w:cs="Times New Roman"/>
                      <w:color w:val="3B3F44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7128A2">
                    <w:rPr>
                      <w:rFonts w:ascii="Oswald" w:eastAsia="Times New Roman" w:hAnsi="Oswald" w:cs="Times New Roman"/>
                      <w:color w:val="3B3F44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 </w:t>
                  </w:r>
                </w:p>
                <w:p w14:paraId="6E9D19D0" w14:textId="77777777" w:rsidR="007128A2" w:rsidRPr="007128A2" w:rsidRDefault="007128A2" w:rsidP="007128A2">
                  <w:pPr>
                    <w:spacing w:after="0" w:line="240" w:lineRule="auto"/>
                    <w:jc w:val="both"/>
                    <w:rPr>
                      <w:rFonts w:ascii="Oswald" w:eastAsia="Times New Roman" w:hAnsi="Oswald" w:cs="Times New Roman"/>
                      <w:color w:val="3B3F44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7128A2">
                    <w:rPr>
                      <w:rFonts w:ascii="Verdana" w:eastAsia="Times New Roman" w:hAnsi="Verdana" w:cs="Times New Roman"/>
                      <w:color w:val="3B3F44"/>
                      <w:kern w:val="0"/>
                      <w:sz w:val="20"/>
                      <w:szCs w:val="20"/>
                      <w:lang w:eastAsia="es-UY"/>
                      <w14:ligatures w14:val="none"/>
                    </w:rPr>
                    <w:t>Disponible en español, inglés, francés y portugués.</w:t>
                  </w:r>
                </w:p>
              </w:tc>
            </w:tr>
          </w:tbl>
          <w:p w14:paraId="02126BA6" w14:textId="77777777" w:rsidR="007128A2" w:rsidRPr="007128A2" w:rsidRDefault="007128A2" w:rsidP="007128A2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2C8A8261" w14:textId="09DAACCE" w:rsidR="00926044" w:rsidRDefault="007128A2">
      <w:hyperlink r:id="rId6" w:history="1">
        <w:r w:rsidRPr="009C7D2D">
          <w:rPr>
            <w:rStyle w:val="Hipervnculo"/>
          </w:rPr>
          <w:t>https://mail.google.com/mail/u/1/#inbox/FMfcgzQbgJPXPGdKChvvZJWRKVSkBbrL</w:t>
        </w:r>
      </w:hyperlink>
    </w:p>
    <w:p w14:paraId="1166A38B" w14:textId="77777777" w:rsidR="007128A2" w:rsidRDefault="007128A2"/>
    <w:sectPr w:rsidR="007128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8A2"/>
    <w:rsid w:val="007128A2"/>
    <w:rsid w:val="00926044"/>
    <w:rsid w:val="00AC5EE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C3788"/>
  <w15:chartTrackingRefBased/>
  <w15:docId w15:val="{6CB0E385-AE17-4C13-AD6B-7F905653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12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2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28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2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28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28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28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28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28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28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28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28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28A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28A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28A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28A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28A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28A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28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2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28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2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28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28A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28A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28A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28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28A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28A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128A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128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il.google.com/mail/u/1/#inbox/FMfcgzQbgJPXPGdKChvvZJWRKVSkBbrL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a6qcc.r.a.d.sendibm1.com/mk/cl/f/sh/1f8JIKXwHGZDuHQdqpJkuvsjRN/6gr8Z8Ps30F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2025-07-16T14:17:00Z</dcterms:created>
  <dcterms:modified xsi:type="dcterms:W3CDTF">2025-07-16T14:18:00Z</dcterms:modified>
</cp:coreProperties>
</file>