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50251" w14:textId="77777777" w:rsidR="002C5BF3" w:rsidRPr="002C5BF3" w:rsidRDefault="002C5BF3" w:rsidP="002C5BF3">
      <w:pPr>
        <w:spacing w:after="240" w:line="600" w:lineRule="atLeast"/>
        <w:jc w:val="center"/>
        <w:rPr>
          <w:rFonts w:ascii="Arial" w:eastAsia="Times New Roman" w:hAnsi="Arial" w:cs="Arial"/>
          <w:color w:val="000000"/>
          <w:kern w:val="0"/>
          <w:sz w:val="39"/>
          <w:szCs w:val="39"/>
          <w:lang w:eastAsia="es-UY"/>
          <w14:ligatures w14:val="none"/>
        </w:rPr>
      </w:pPr>
      <w:proofErr w:type="spellStart"/>
      <w:r w:rsidRPr="002C5BF3">
        <w:rPr>
          <w:rFonts w:ascii="Arial" w:eastAsia="Times New Roman" w:hAnsi="Arial" w:cs="Arial"/>
          <w:b/>
          <w:bCs/>
          <w:color w:val="000000"/>
          <w:kern w:val="0"/>
          <w:sz w:val="39"/>
          <w:szCs w:val="39"/>
          <w:lang w:eastAsia="es-UY"/>
          <w14:ligatures w14:val="none"/>
        </w:rPr>
        <w:t>Purgahuasca</w:t>
      </w:r>
      <w:proofErr w:type="spellEnd"/>
      <w:r w:rsidRPr="002C5BF3">
        <w:rPr>
          <w:rFonts w:ascii="Arial" w:eastAsia="Times New Roman" w:hAnsi="Arial" w:cs="Arial"/>
          <w:b/>
          <w:bCs/>
          <w:color w:val="000000"/>
          <w:kern w:val="0"/>
          <w:sz w:val="39"/>
          <w:szCs w:val="39"/>
          <w:lang w:eastAsia="es-UY"/>
          <w14:ligatures w14:val="none"/>
        </w:rPr>
        <w:t>: del ritual de iniciación a las aplicaciones terapéuticas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shd w:val="clear" w:color="auto" w:fill="FE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6"/>
      </w:tblGrid>
      <w:tr w:rsidR="002C5BF3" w:rsidRPr="002C5BF3" w14:paraId="63A3E29B" w14:textId="77777777" w:rsidTr="002C5BF3">
        <w:trPr>
          <w:tblCellSpacing w:w="0" w:type="dxa"/>
        </w:trPr>
        <w:tc>
          <w:tcPr>
            <w:tcW w:w="0" w:type="auto"/>
            <w:shd w:val="clear" w:color="auto" w:fill="FEFFFF"/>
            <w:tcMar>
              <w:top w:w="30" w:type="dxa"/>
              <w:left w:w="15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30"/>
            </w:tblGrid>
            <w:tr w:rsidR="002C5BF3" w:rsidRPr="002C5BF3" w14:paraId="6A5FDEA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94571A"/>
                    <w:left w:val="single" w:sz="6" w:space="0" w:color="94571A"/>
                    <w:bottom w:val="single" w:sz="6" w:space="0" w:color="94571A"/>
                    <w:right w:val="single" w:sz="6" w:space="0" w:color="94571A"/>
                  </w:tcBorders>
                  <w:shd w:val="clear" w:color="auto" w:fill="auto"/>
                  <w:vAlign w:val="center"/>
                  <w:hideMark/>
                </w:tcPr>
                <w:p w14:paraId="0CA67EEC" w14:textId="77777777" w:rsidR="002C5BF3" w:rsidRPr="002C5BF3" w:rsidRDefault="002C5BF3" w:rsidP="002C5BF3">
                  <w:pPr>
                    <w:framePr w:hSpace="45" w:wrap="around" w:vAnchor="text" w:hAnchor="text" w:xAlign="right" w:yAlign="center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2C5BF3">
                    <w:rPr>
                      <w:rFonts w:ascii="Times New Roman" w:eastAsia="Times New Roman" w:hAnsi="Times New Roman" w:cs="Times New Roman"/>
                      <w:noProof/>
                      <w:color w:val="1155CC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drawing>
                      <wp:inline distT="0" distB="0" distL="0" distR="0" wp14:anchorId="744D8AC4" wp14:editId="504CA9D5">
                        <wp:extent cx="3048000" cy="3048000"/>
                        <wp:effectExtent l="0" t="0" r="0" b="0"/>
                        <wp:docPr id="1" name="Imagen 2" descr="Interfaz de usuario gráfica, Sitio web&#10;&#10;El contenido generado por IA puede ser incorrecto.">
                          <a:hlinkClick xmlns:a="http://schemas.openxmlformats.org/drawingml/2006/main" r:id="rId4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n 2" descr="Interfaz de usuario gráfica, Sitio web&#10;&#10;El contenido generado por IA puede ser incorrecto.">
                                  <a:hlinkClick r:id="rId4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0" cy="3048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ECA5DC" w14:textId="77777777" w:rsidR="002C5BF3" w:rsidRPr="002C5BF3" w:rsidRDefault="002C5BF3" w:rsidP="002C5B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21392D8D" w14:textId="77777777" w:rsidR="002C5BF3" w:rsidRPr="002C5BF3" w:rsidRDefault="002C5BF3" w:rsidP="002C5BF3">
      <w:pPr>
        <w:spacing w:after="240" w:line="375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Queridos amigos, los invitamos a asistir a este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webinar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 gratuito que será transmitido en vivo por nuestro canal Facebook el jueves 24 de julio a las 11:00 am (hora de Perú), con la participación de nuestro director ejecutivo Jaime Torres.</w:t>
      </w:r>
    </w:p>
    <w:p w14:paraId="29953A83" w14:textId="77777777" w:rsidR="002C5BF3" w:rsidRPr="002C5BF3" w:rsidRDefault="002C5BF3" w:rsidP="002C5BF3">
      <w:pPr>
        <w:spacing w:after="240" w:line="375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Los ritos de paso son una práctica común en muchas culturas indígenas, especialmente durante el tránsito a la adolescencia. Entre los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Awajún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, este paso de la infancia a la adultez está marcado por una ceremonia dirigida por el médico tradicional, o </w:t>
      </w:r>
      <w:proofErr w:type="spellStart"/>
      <w:r w:rsidRPr="002C5BF3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es-UY"/>
          <w14:ligatures w14:val="none"/>
        </w:rPr>
        <w:t>tsuwájatin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, quien administra al adolescente una decocción diluida de la liana </w:t>
      </w:r>
      <w:proofErr w:type="spellStart"/>
      <w:r w:rsidRPr="002C5BF3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es-UY"/>
          <w14:ligatures w14:val="none"/>
        </w:rPr>
        <w:t>Banisteriopsis</w:t>
      </w:r>
      <w:proofErr w:type="spellEnd"/>
      <w:r w:rsidRPr="002C5BF3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2C5BF3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es-UY"/>
          <w14:ligatures w14:val="none"/>
        </w:rPr>
        <w:t>caapi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, conocida como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Purgahuasca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. El propósito del ritual es facilitar el encuentro con el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Ajútap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, la divinidad que otorga la visión e indica al joven su vocación.</w:t>
      </w:r>
    </w:p>
    <w:p w14:paraId="5CF28795" w14:textId="77777777" w:rsidR="002C5BF3" w:rsidRPr="002C5BF3" w:rsidRDefault="002C5BF3" w:rsidP="002C5BF3">
      <w:pPr>
        <w:spacing w:after="240" w:line="375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Inspirado en esta tradición transmitida a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Takiwasi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 por el maestro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awajún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 Walter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Cuñachi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, el ritual de la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Purgahuasca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 ha sido incorporado desde 1998 en el protocolo terapéutico del Centro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Takiwasi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 para el tratamiento de adicciones. A lo largo de los años, los testimonios tanto de terapeutas como de pacientes han confirmado su eficacia y valor terapéutico como una modalidad alternativa de ingerir Ayahuasca.</w:t>
      </w:r>
    </w:p>
    <w:p w14:paraId="5F4850B8" w14:textId="77777777" w:rsidR="002C5BF3" w:rsidRPr="002C5BF3" w:rsidRDefault="002C5BF3" w:rsidP="002C5BF3">
      <w:pPr>
        <w:spacing w:after="240" w:line="375" w:lineRule="atLeast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A diferencia de la ceremonia de Ayahuasca clásica, la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Purgahuasca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 suele inducir menos visiones y actúa con mayor intensidad a nivel físico. En algunos casos, las personas que experimentan bloqueos durante las ceremonias con Ayahuasca y no logran acceder a información significativa, encuentran en la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Purgahuasca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 una experiencia más profunda y reveladora. Algunos pacientes la describen como la vivencia más transformadora de su proceso terapéutico, por </w:t>
      </w:r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lastRenderedPageBreak/>
        <w:t xml:space="preserve">la claridad, comprensión e </w:t>
      </w:r>
      <w:proofErr w:type="spellStart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>insights</w:t>
      </w:r>
      <w:proofErr w:type="spellEnd"/>
      <w:r w:rsidRPr="002C5BF3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t xml:space="preserve"> que reciben, esenciales para su camino de sanación personal.</w:t>
      </w:r>
    </w:p>
    <w:p w14:paraId="4A7F4429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F3"/>
    <w:rsid w:val="002C5BF3"/>
    <w:rsid w:val="00926044"/>
    <w:rsid w:val="00B02A8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D3F68"/>
  <w15:chartTrackingRefBased/>
  <w15:docId w15:val="{BC0AEFF7-02A0-48F6-B122-FABF5F17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5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5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5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5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5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5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5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5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5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5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5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5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5B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5BF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5B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5BF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5B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5B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5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5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5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5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5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5BF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5BF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5BF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5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5BF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5B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facebook.com/share/1B1fvYiCp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2025-07-16T12:19:00Z</dcterms:created>
  <dcterms:modified xsi:type="dcterms:W3CDTF">2025-07-16T12:20:00Z</dcterms:modified>
</cp:coreProperties>
</file>