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3693F" w14:textId="474F5672" w:rsid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drawing>
          <wp:inline distT="0" distB="0" distL="0" distR="0" wp14:anchorId="49B43DD0" wp14:editId="41258F9F">
            <wp:extent cx="5400040" cy="1308735"/>
            <wp:effectExtent l="0" t="0" r="0" b="5715"/>
            <wp:docPr id="1864805852" name="Imagen 1" descr="Imagen que contiene exterior, firmar, hombre,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05852" name="Imagen 1" descr="Imagen que contiene exterior, firmar, hombre, foto&#10;&#10;El contenido generado por IA puede ser incorrecto."/>
                    <pic:cNvPicPr/>
                  </pic:nvPicPr>
                  <pic:blipFill>
                    <a:blip r:embed="rId4"/>
                    <a:stretch>
                      <a:fillRect/>
                    </a:stretch>
                  </pic:blipFill>
                  <pic:spPr>
                    <a:xfrm>
                      <a:off x="0" y="0"/>
                      <a:ext cx="5400040" cy="1308735"/>
                    </a:xfrm>
                    <a:prstGeom prst="rect">
                      <a:avLst/>
                    </a:prstGeom>
                  </pic:spPr>
                </pic:pic>
              </a:graphicData>
            </a:graphic>
          </wp:inline>
        </w:drawing>
      </w:r>
    </w:p>
    <w:p w14:paraId="7C58CFF1" w14:textId="6E4F894E"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Tan grave como naturalizar el horror es la negación activa de la opinión pública. Los grandes medios de comunicación no están exentos de ello, centrados en la "objetividad" del recuento de muertos en represalia de la maquinaria </w:t>
      </w:r>
      <w:r w:rsidRPr="00DF36A0">
        <w:rPr>
          <w:rFonts w:ascii="Arial" w:eastAsia="Times New Roman" w:hAnsi="Arial" w:cs="Arial"/>
          <w:b/>
          <w:bCs/>
          <w:color w:val="333333"/>
          <w:kern w:val="0"/>
          <w:sz w:val="26"/>
          <w:szCs w:val="26"/>
          <w:lang w:eastAsia="es-UY"/>
          <w14:ligatures w14:val="none"/>
        </w:rPr>
        <w:t> </w:t>
      </w:r>
      <w:r w:rsidRPr="00DF36A0">
        <w:rPr>
          <w:rFonts w:ascii="Arial" w:eastAsia="Times New Roman" w:hAnsi="Arial" w:cs="Arial"/>
          <w:color w:val="333333"/>
          <w:kern w:val="0"/>
          <w:sz w:val="26"/>
          <w:szCs w:val="26"/>
          <w:lang w:eastAsia="es-UY"/>
          <w14:ligatures w14:val="none"/>
        </w:rPr>
        <w:t>de muerte de </w:t>
      </w:r>
      <w:r w:rsidRPr="00DF36A0">
        <w:rPr>
          <w:rFonts w:ascii="Arial" w:eastAsia="Times New Roman" w:hAnsi="Arial" w:cs="Arial"/>
          <w:b/>
          <w:bCs/>
          <w:color w:val="333333"/>
          <w:kern w:val="0"/>
          <w:sz w:val="26"/>
          <w:szCs w:val="26"/>
          <w:lang w:eastAsia="es-UY"/>
          <w14:ligatures w14:val="none"/>
        </w:rPr>
        <w:t>Netanyahu</w:t>
      </w:r>
      <w:r w:rsidRPr="00DF36A0">
        <w:rPr>
          <w:rFonts w:ascii="Arial" w:eastAsia="Times New Roman" w:hAnsi="Arial" w:cs="Arial"/>
          <w:color w:val="333333"/>
          <w:kern w:val="0"/>
          <w:sz w:val="26"/>
          <w:szCs w:val="26"/>
          <w:lang w:eastAsia="es-UY"/>
          <w14:ligatures w14:val="none"/>
        </w:rPr>
        <w:t> al  pogromo terrorista  </w:t>
      </w:r>
      <w:r w:rsidRPr="00DF36A0">
        <w:rPr>
          <w:rFonts w:ascii="Arial" w:eastAsia="Times New Roman" w:hAnsi="Arial" w:cs="Arial"/>
          <w:b/>
          <w:bCs/>
          <w:color w:val="333333"/>
          <w:kern w:val="0"/>
          <w:sz w:val="26"/>
          <w:szCs w:val="26"/>
          <w:lang w:eastAsia="es-UY"/>
          <w14:ligatures w14:val="none"/>
        </w:rPr>
        <w:t>de Hamás</w:t>
      </w:r>
      <w:r w:rsidRPr="00DF36A0">
        <w:rPr>
          <w:rFonts w:ascii="Arial" w:eastAsia="Times New Roman" w:hAnsi="Arial" w:cs="Arial"/>
          <w:color w:val="333333"/>
          <w:kern w:val="0"/>
          <w:sz w:val="26"/>
          <w:szCs w:val="26"/>
          <w:lang w:eastAsia="es-UY"/>
          <w14:ligatures w14:val="none"/>
        </w:rPr>
        <w:t> .</w:t>
      </w:r>
    </w:p>
    <w:p w14:paraId="762E38EC" w14:textId="77777777" w:rsid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El artículo es de </w:t>
      </w:r>
      <w:hyperlink r:id="rId5" w:tgtFrame="_blank" w:history="1">
        <w:r w:rsidRPr="00DF36A0">
          <w:rPr>
            <w:rFonts w:ascii="Arial" w:eastAsia="Times New Roman" w:hAnsi="Arial" w:cs="Arial"/>
            <w:color w:val="FC6B01"/>
            <w:kern w:val="0"/>
            <w:sz w:val="26"/>
            <w:szCs w:val="26"/>
            <w:u w:val="single"/>
            <w:lang w:eastAsia="es-UY"/>
            <w14:ligatures w14:val="none"/>
          </w:rPr>
          <w:t xml:space="preserve">Muniz </w:t>
        </w:r>
        <w:proofErr w:type="spellStart"/>
        <w:r w:rsidRPr="00DF36A0">
          <w:rPr>
            <w:rFonts w:ascii="Arial" w:eastAsia="Times New Roman" w:hAnsi="Arial" w:cs="Arial"/>
            <w:color w:val="FC6B01"/>
            <w:kern w:val="0"/>
            <w:sz w:val="26"/>
            <w:szCs w:val="26"/>
            <w:u w:val="single"/>
            <w:lang w:eastAsia="es-UY"/>
            <w14:ligatures w14:val="none"/>
          </w:rPr>
          <w:t>Sodré</w:t>
        </w:r>
        <w:proofErr w:type="spellEnd"/>
      </w:hyperlink>
      <w:r w:rsidRPr="00DF36A0">
        <w:rPr>
          <w:rFonts w:ascii="Arial" w:eastAsia="Times New Roman" w:hAnsi="Arial" w:cs="Arial"/>
          <w:color w:val="333333"/>
          <w:kern w:val="0"/>
          <w:sz w:val="26"/>
          <w:szCs w:val="26"/>
          <w:lang w:eastAsia="es-UY"/>
          <w14:ligatures w14:val="none"/>
        </w:rPr>
        <w:t> , sociólogo, profesor emérito de la UFRJ, publicado por </w:t>
      </w:r>
      <w:proofErr w:type="spellStart"/>
      <w:r w:rsidRPr="00DF36A0">
        <w:rPr>
          <w:rFonts w:ascii="Arial" w:eastAsia="Times New Roman" w:hAnsi="Arial" w:cs="Arial"/>
          <w:color w:val="333333"/>
          <w:kern w:val="0"/>
          <w:sz w:val="26"/>
          <w:szCs w:val="26"/>
          <w:lang w:eastAsia="es-UY"/>
          <w14:ligatures w14:val="none"/>
        </w:rPr>
        <w:fldChar w:fldCharType="begin"/>
      </w:r>
      <w:r w:rsidRPr="00DF36A0">
        <w:rPr>
          <w:rFonts w:ascii="Arial" w:eastAsia="Times New Roman" w:hAnsi="Arial" w:cs="Arial"/>
          <w:color w:val="333333"/>
          <w:kern w:val="0"/>
          <w:sz w:val="26"/>
          <w:szCs w:val="26"/>
          <w:lang w:eastAsia="es-UY"/>
          <w14:ligatures w14:val="none"/>
        </w:rPr>
        <w:instrText>HYPERLINK "https://www.folha.uol.com.br/" \t "_blank"</w:instrText>
      </w:r>
      <w:r w:rsidRPr="00DF36A0">
        <w:rPr>
          <w:rFonts w:ascii="Arial" w:eastAsia="Times New Roman" w:hAnsi="Arial" w:cs="Arial"/>
          <w:color w:val="333333"/>
          <w:kern w:val="0"/>
          <w:sz w:val="26"/>
          <w:szCs w:val="26"/>
          <w:lang w:eastAsia="es-UY"/>
          <w14:ligatures w14:val="none"/>
        </w:rPr>
      </w:r>
      <w:r w:rsidRPr="00DF36A0">
        <w:rPr>
          <w:rFonts w:ascii="Arial" w:eastAsia="Times New Roman" w:hAnsi="Arial" w:cs="Arial"/>
          <w:color w:val="333333"/>
          <w:kern w:val="0"/>
          <w:sz w:val="26"/>
          <w:szCs w:val="26"/>
          <w:lang w:eastAsia="es-UY"/>
          <w14:ligatures w14:val="none"/>
        </w:rPr>
        <w:fldChar w:fldCharType="separate"/>
      </w:r>
      <w:r w:rsidRPr="00DF36A0">
        <w:rPr>
          <w:rFonts w:ascii="Arial" w:eastAsia="Times New Roman" w:hAnsi="Arial" w:cs="Arial"/>
          <w:color w:val="FC6B01"/>
          <w:kern w:val="0"/>
          <w:sz w:val="26"/>
          <w:szCs w:val="26"/>
          <w:u w:val="single"/>
          <w:lang w:eastAsia="es-UY"/>
          <w14:ligatures w14:val="none"/>
        </w:rPr>
        <w:t>Folha</w:t>
      </w:r>
      <w:proofErr w:type="spellEnd"/>
      <w:r w:rsidRPr="00DF36A0">
        <w:rPr>
          <w:rFonts w:ascii="Arial" w:eastAsia="Times New Roman" w:hAnsi="Arial" w:cs="Arial"/>
          <w:color w:val="FC6B01"/>
          <w:kern w:val="0"/>
          <w:sz w:val="26"/>
          <w:szCs w:val="26"/>
          <w:u w:val="single"/>
          <w:lang w:eastAsia="es-UY"/>
          <w14:ligatures w14:val="none"/>
        </w:rPr>
        <w:t xml:space="preserve"> de S. Paulo</w:t>
      </w:r>
      <w:r w:rsidRPr="00DF36A0">
        <w:rPr>
          <w:rFonts w:ascii="Arial" w:eastAsia="Times New Roman" w:hAnsi="Arial" w:cs="Arial"/>
          <w:color w:val="333333"/>
          <w:kern w:val="0"/>
          <w:sz w:val="26"/>
          <w:szCs w:val="26"/>
          <w:lang w:eastAsia="es-UY"/>
          <w14:ligatures w14:val="none"/>
        </w:rPr>
        <w:fldChar w:fldCharType="end"/>
      </w:r>
      <w:r w:rsidRPr="00DF36A0">
        <w:rPr>
          <w:rFonts w:ascii="Arial" w:eastAsia="Times New Roman" w:hAnsi="Arial" w:cs="Arial"/>
          <w:color w:val="333333"/>
          <w:kern w:val="0"/>
          <w:sz w:val="26"/>
          <w:szCs w:val="26"/>
          <w:lang w:eastAsia="es-UY"/>
          <w14:ligatures w14:val="none"/>
        </w:rPr>
        <w:t> , el 07-06-2025.</w:t>
      </w:r>
    </w:p>
    <w:p w14:paraId="726693B8" w14:textId="77777777"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p>
    <w:p w14:paraId="664AB6FC" w14:textId="77777777"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Según él, "la negación activa es un mecanismo de defensa, individual o colectivo, generalmente debido al cinismo o a una profunda perturbación mental.</w:t>
      </w:r>
    </w:p>
    <w:p w14:paraId="5B5AC81F" w14:textId="77777777" w:rsidR="00DF36A0" w:rsidRDefault="00DF36A0" w:rsidP="00DF36A0">
      <w:pPr>
        <w:spacing w:after="0" w:line="240" w:lineRule="auto"/>
        <w:jc w:val="both"/>
        <w:outlineLvl w:val="1"/>
        <w:rPr>
          <w:rFonts w:ascii="Arial" w:eastAsia="Times New Roman" w:hAnsi="Arial" w:cs="Arial"/>
          <w:b/>
          <w:bCs/>
          <w:color w:val="333333"/>
          <w:kern w:val="0"/>
          <w:sz w:val="36"/>
          <w:szCs w:val="36"/>
          <w:lang w:eastAsia="es-UY"/>
          <w14:ligatures w14:val="none"/>
        </w:rPr>
      </w:pPr>
      <w:r w:rsidRPr="00DF36A0">
        <w:rPr>
          <w:rFonts w:ascii="Arial" w:eastAsia="Times New Roman" w:hAnsi="Arial" w:cs="Arial"/>
          <w:b/>
          <w:bCs/>
          <w:color w:val="333333"/>
          <w:kern w:val="0"/>
          <w:sz w:val="36"/>
          <w:szCs w:val="36"/>
          <w:lang w:eastAsia="es-UY"/>
          <w14:ligatures w14:val="none"/>
        </w:rPr>
        <w:t>Aquí está el artículo.</w:t>
      </w:r>
    </w:p>
    <w:p w14:paraId="37F67862" w14:textId="77777777" w:rsidR="00DF36A0" w:rsidRPr="00DF36A0" w:rsidRDefault="00DF36A0" w:rsidP="00DF36A0">
      <w:pPr>
        <w:spacing w:after="0" w:line="240" w:lineRule="auto"/>
        <w:jc w:val="both"/>
        <w:outlineLvl w:val="1"/>
        <w:rPr>
          <w:rFonts w:ascii="Arial" w:eastAsia="Times New Roman" w:hAnsi="Arial" w:cs="Arial"/>
          <w:b/>
          <w:bCs/>
          <w:color w:val="333333"/>
          <w:kern w:val="0"/>
          <w:sz w:val="36"/>
          <w:szCs w:val="36"/>
          <w:lang w:eastAsia="es-UY"/>
          <w14:ligatures w14:val="none"/>
        </w:rPr>
      </w:pPr>
    </w:p>
    <w:p w14:paraId="44BC40A7" w14:textId="77777777" w:rsid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La negación activa es lo que ocurre cuando, ante un hecho claro y simple, una evidencia, el sujeto finge no verla para tranquilizar su conciencia. Es un mecanismo de defensa, individual o colectivo, generalmente debido al cinismo o a un profundo trastorno mental. Se aplica bien a la indiferencia generalizada ante una publicación del famoso productor de televisión israelí </w:t>
      </w:r>
      <w:proofErr w:type="spellStart"/>
      <w:r w:rsidRPr="00DF36A0">
        <w:rPr>
          <w:rFonts w:ascii="Arial" w:eastAsia="Times New Roman" w:hAnsi="Arial" w:cs="Arial"/>
          <w:b/>
          <w:bCs/>
          <w:color w:val="333333"/>
          <w:kern w:val="0"/>
          <w:sz w:val="26"/>
          <w:szCs w:val="26"/>
          <w:lang w:eastAsia="es-UY"/>
          <w14:ligatures w14:val="none"/>
        </w:rPr>
        <w:t>Elad</w:t>
      </w:r>
      <w:proofErr w:type="spellEnd"/>
      <w:r w:rsidRPr="00DF36A0">
        <w:rPr>
          <w:rFonts w:ascii="Arial" w:eastAsia="Times New Roman" w:hAnsi="Arial" w:cs="Arial"/>
          <w:b/>
          <w:bCs/>
          <w:color w:val="333333"/>
          <w:kern w:val="0"/>
          <w:sz w:val="26"/>
          <w:szCs w:val="26"/>
          <w:lang w:eastAsia="es-UY"/>
          <w14:ligatures w14:val="none"/>
        </w:rPr>
        <w:t xml:space="preserve"> </w:t>
      </w:r>
      <w:proofErr w:type="spellStart"/>
      <w:r w:rsidRPr="00DF36A0">
        <w:rPr>
          <w:rFonts w:ascii="Arial" w:eastAsia="Times New Roman" w:hAnsi="Arial" w:cs="Arial"/>
          <w:b/>
          <w:bCs/>
          <w:color w:val="333333"/>
          <w:kern w:val="0"/>
          <w:sz w:val="26"/>
          <w:szCs w:val="26"/>
          <w:lang w:eastAsia="es-UY"/>
          <w14:ligatures w14:val="none"/>
        </w:rPr>
        <w:t>Barashi</w:t>
      </w:r>
      <w:proofErr w:type="spellEnd"/>
      <w:r w:rsidRPr="00DF36A0">
        <w:rPr>
          <w:rFonts w:ascii="Arial" w:eastAsia="Times New Roman" w:hAnsi="Arial" w:cs="Arial"/>
          <w:color w:val="333333"/>
          <w:kern w:val="0"/>
          <w:sz w:val="26"/>
          <w:szCs w:val="26"/>
          <w:lang w:eastAsia="es-UY"/>
          <w14:ligatures w14:val="none"/>
        </w:rPr>
        <w:t> : «No puedo comprender a la gente aquí en el </w:t>
      </w:r>
      <w:r w:rsidRPr="00DF36A0">
        <w:rPr>
          <w:rFonts w:ascii="Arial" w:eastAsia="Times New Roman" w:hAnsi="Arial" w:cs="Arial"/>
          <w:b/>
          <w:bCs/>
          <w:color w:val="333333"/>
          <w:kern w:val="0"/>
          <w:sz w:val="26"/>
          <w:szCs w:val="26"/>
          <w:lang w:eastAsia="es-UY"/>
          <w14:ligatures w14:val="none"/>
        </w:rPr>
        <w:t>Estado de Israel</w:t>
      </w:r>
      <w:r w:rsidRPr="00DF36A0">
        <w:rPr>
          <w:rFonts w:ascii="Arial" w:eastAsia="Times New Roman" w:hAnsi="Arial" w:cs="Arial"/>
          <w:color w:val="333333"/>
          <w:kern w:val="0"/>
          <w:sz w:val="26"/>
          <w:szCs w:val="26"/>
          <w:lang w:eastAsia="es-UY"/>
          <w14:ligatures w14:val="none"/>
        </w:rPr>
        <w:t> que no quiere llenar </w:t>
      </w:r>
      <w:r w:rsidRPr="00DF36A0">
        <w:rPr>
          <w:rFonts w:ascii="Arial" w:eastAsia="Times New Roman" w:hAnsi="Arial" w:cs="Arial"/>
          <w:b/>
          <w:bCs/>
          <w:color w:val="333333"/>
          <w:kern w:val="0"/>
          <w:sz w:val="26"/>
          <w:szCs w:val="26"/>
          <w:lang w:eastAsia="es-UY"/>
          <w14:ligatures w14:val="none"/>
        </w:rPr>
        <w:t>Gaza</w:t>
      </w:r>
      <w:r w:rsidRPr="00DF36A0">
        <w:rPr>
          <w:rFonts w:ascii="Arial" w:eastAsia="Times New Roman" w:hAnsi="Arial" w:cs="Arial"/>
          <w:color w:val="333333"/>
          <w:kern w:val="0"/>
          <w:sz w:val="26"/>
          <w:szCs w:val="26"/>
          <w:lang w:eastAsia="es-UY"/>
          <w14:ligatures w14:val="none"/>
        </w:rPr>
        <w:t> de gas... o vagones de tren... ¡y acabar con esto! ¡Que haya un </w:t>
      </w:r>
      <w:hyperlink r:id="rId6" w:tgtFrame="_blank" w:history="1">
        <w:r w:rsidRPr="00DF36A0">
          <w:rPr>
            <w:rFonts w:ascii="Arial" w:eastAsia="Times New Roman" w:hAnsi="Arial" w:cs="Arial"/>
            <w:color w:val="FC6B01"/>
            <w:kern w:val="0"/>
            <w:sz w:val="26"/>
            <w:szCs w:val="26"/>
            <w:u w:val="single"/>
            <w:lang w:eastAsia="es-UY"/>
            <w14:ligatures w14:val="none"/>
          </w:rPr>
          <w:t>Holocausto en Gaza</w:t>
        </w:r>
      </w:hyperlink>
      <w:r w:rsidRPr="00DF36A0">
        <w:rPr>
          <w:rFonts w:ascii="Arial" w:eastAsia="Times New Roman" w:hAnsi="Arial" w:cs="Arial"/>
          <w:color w:val="333333"/>
          <w:kern w:val="0"/>
          <w:sz w:val="26"/>
          <w:szCs w:val="26"/>
          <w:lang w:eastAsia="es-UY"/>
          <w14:ligatures w14:val="none"/>
        </w:rPr>
        <w:t> !» (5/5/2025).</w:t>
      </w:r>
    </w:p>
    <w:p w14:paraId="79D2DABF" w14:textId="77777777"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p>
    <w:p w14:paraId="05091605" w14:textId="77777777" w:rsid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"¡Qué horror, qué horror!", balbuceaba el atormentado </w:t>
      </w:r>
      <w:r w:rsidRPr="00DF36A0">
        <w:rPr>
          <w:rFonts w:ascii="Arial" w:eastAsia="Times New Roman" w:hAnsi="Arial" w:cs="Arial"/>
          <w:b/>
          <w:bCs/>
          <w:color w:val="333333"/>
          <w:kern w:val="0"/>
          <w:sz w:val="26"/>
          <w:szCs w:val="26"/>
          <w:lang w:eastAsia="es-UY"/>
          <w14:ligatures w14:val="none"/>
        </w:rPr>
        <w:t>Kurtz</w:t>
      </w:r>
      <w:r w:rsidRPr="00DF36A0">
        <w:rPr>
          <w:rFonts w:ascii="Arial" w:eastAsia="Times New Roman" w:hAnsi="Arial" w:cs="Arial"/>
          <w:color w:val="333333"/>
          <w:kern w:val="0"/>
          <w:sz w:val="26"/>
          <w:szCs w:val="26"/>
          <w:lang w:eastAsia="es-UY"/>
          <w14:ligatures w14:val="none"/>
        </w:rPr>
        <w:t> de "El </w:t>
      </w:r>
      <w:r w:rsidRPr="00DF36A0">
        <w:rPr>
          <w:rFonts w:ascii="Arial" w:eastAsia="Times New Roman" w:hAnsi="Arial" w:cs="Arial"/>
          <w:b/>
          <w:bCs/>
          <w:color w:val="333333"/>
          <w:kern w:val="0"/>
          <w:sz w:val="26"/>
          <w:szCs w:val="26"/>
          <w:lang w:eastAsia="es-UY"/>
          <w14:ligatures w14:val="none"/>
        </w:rPr>
        <w:t>corazón de las tinieblas</w:t>
      </w:r>
      <w:r w:rsidRPr="00DF36A0">
        <w:rPr>
          <w:rFonts w:ascii="Arial" w:eastAsia="Times New Roman" w:hAnsi="Arial" w:cs="Arial"/>
          <w:color w:val="333333"/>
          <w:kern w:val="0"/>
          <w:sz w:val="26"/>
          <w:szCs w:val="26"/>
          <w:lang w:eastAsia="es-UY"/>
          <w14:ligatures w14:val="none"/>
        </w:rPr>
        <w:t> " ( </w:t>
      </w:r>
      <w:hyperlink r:id="rId7" w:history="1">
        <w:r w:rsidRPr="00DF36A0">
          <w:rPr>
            <w:rFonts w:ascii="Arial" w:eastAsia="Times New Roman" w:hAnsi="Arial" w:cs="Arial"/>
            <w:color w:val="FC6B01"/>
            <w:kern w:val="0"/>
            <w:sz w:val="26"/>
            <w:szCs w:val="26"/>
            <w:u w:val="single"/>
            <w:lang w:eastAsia="es-UY"/>
            <w14:ligatures w14:val="none"/>
          </w:rPr>
          <w:t>Joseph Conrad</w:t>
        </w:r>
      </w:hyperlink>
      <w:r w:rsidRPr="00DF36A0">
        <w:rPr>
          <w:rFonts w:ascii="Arial" w:eastAsia="Times New Roman" w:hAnsi="Arial" w:cs="Arial"/>
          <w:color w:val="333333"/>
          <w:kern w:val="0"/>
          <w:sz w:val="26"/>
          <w:szCs w:val="26"/>
          <w:lang w:eastAsia="es-UY"/>
          <w14:ligatures w14:val="none"/>
        </w:rPr>
        <w:t> ). Pero la prensa internacional reaccionó ante la gravedad de este lenguaje. Aunque muchos ciudadanos israelíes reaccionaron, los círculos oficiales no criticaron los comentarios de </w:t>
      </w:r>
      <w:proofErr w:type="spellStart"/>
      <w:r w:rsidRPr="00DF36A0">
        <w:rPr>
          <w:rFonts w:ascii="Arial" w:eastAsia="Times New Roman" w:hAnsi="Arial" w:cs="Arial"/>
          <w:b/>
          <w:bCs/>
          <w:color w:val="333333"/>
          <w:kern w:val="0"/>
          <w:sz w:val="26"/>
          <w:szCs w:val="26"/>
          <w:lang w:eastAsia="es-UY"/>
          <w14:ligatures w14:val="none"/>
        </w:rPr>
        <w:t>Barashi</w:t>
      </w:r>
      <w:proofErr w:type="spellEnd"/>
      <w:r w:rsidRPr="00DF36A0">
        <w:rPr>
          <w:rFonts w:ascii="Arial" w:eastAsia="Times New Roman" w:hAnsi="Arial" w:cs="Arial"/>
          <w:color w:val="333333"/>
          <w:kern w:val="0"/>
          <w:sz w:val="26"/>
          <w:szCs w:val="26"/>
          <w:lang w:eastAsia="es-UY"/>
          <w14:ligatures w14:val="none"/>
        </w:rPr>
        <w:t> , del Canal 14 de televisión, el portavoz ultraderechista del primer ministro </w:t>
      </w:r>
      <w:r w:rsidRPr="00DF36A0">
        <w:rPr>
          <w:rFonts w:ascii="Arial" w:eastAsia="Times New Roman" w:hAnsi="Arial" w:cs="Arial"/>
          <w:b/>
          <w:bCs/>
          <w:color w:val="333333"/>
          <w:kern w:val="0"/>
          <w:sz w:val="26"/>
          <w:szCs w:val="26"/>
          <w:lang w:eastAsia="es-UY"/>
          <w14:ligatures w14:val="none"/>
        </w:rPr>
        <w:t>Netanyahu</w:t>
      </w:r>
      <w:r w:rsidRPr="00DF36A0">
        <w:rPr>
          <w:rFonts w:ascii="Arial" w:eastAsia="Times New Roman" w:hAnsi="Arial" w:cs="Arial"/>
          <w:color w:val="333333"/>
          <w:kern w:val="0"/>
          <w:sz w:val="26"/>
          <w:szCs w:val="26"/>
          <w:lang w:eastAsia="es-UY"/>
          <w14:ligatures w14:val="none"/>
        </w:rPr>
        <w:t> . En nuestro país, el énfasis en el hecho se debió únicamente a la firme voz semanal de la periodista </w:t>
      </w:r>
      <w:proofErr w:type="spellStart"/>
      <w:r w:rsidRPr="00DF36A0">
        <w:rPr>
          <w:rFonts w:ascii="Arial" w:eastAsia="Times New Roman" w:hAnsi="Arial" w:cs="Arial"/>
          <w:b/>
          <w:bCs/>
          <w:color w:val="333333"/>
          <w:kern w:val="0"/>
          <w:sz w:val="26"/>
          <w:szCs w:val="26"/>
          <w:lang w:eastAsia="es-UY"/>
          <w14:ligatures w14:val="none"/>
        </w:rPr>
        <w:t>Dorrit</w:t>
      </w:r>
      <w:proofErr w:type="spellEnd"/>
      <w:r w:rsidRPr="00DF36A0">
        <w:rPr>
          <w:rFonts w:ascii="Arial" w:eastAsia="Times New Roman" w:hAnsi="Arial" w:cs="Arial"/>
          <w:b/>
          <w:bCs/>
          <w:color w:val="333333"/>
          <w:kern w:val="0"/>
          <w:sz w:val="26"/>
          <w:szCs w:val="26"/>
          <w:lang w:eastAsia="es-UY"/>
          <w14:ligatures w14:val="none"/>
        </w:rPr>
        <w:t xml:space="preserve"> </w:t>
      </w:r>
      <w:proofErr w:type="spellStart"/>
      <w:r w:rsidRPr="00DF36A0">
        <w:rPr>
          <w:rFonts w:ascii="Arial" w:eastAsia="Times New Roman" w:hAnsi="Arial" w:cs="Arial"/>
          <w:b/>
          <w:bCs/>
          <w:color w:val="333333"/>
          <w:kern w:val="0"/>
          <w:sz w:val="26"/>
          <w:szCs w:val="26"/>
          <w:lang w:eastAsia="es-UY"/>
          <w14:ligatures w14:val="none"/>
        </w:rPr>
        <w:t>Harazim</w:t>
      </w:r>
      <w:proofErr w:type="spellEnd"/>
      <w:r w:rsidRPr="00DF36A0">
        <w:rPr>
          <w:rFonts w:ascii="Arial" w:eastAsia="Times New Roman" w:hAnsi="Arial" w:cs="Arial"/>
          <w:color w:val="333333"/>
          <w:kern w:val="0"/>
          <w:sz w:val="26"/>
          <w:szCs w:val="26"/>
          <w:lang w:eastAsia="es-UY"/>
          <w14:ligatures w14:val="none"/>
        </w:rPr>
        <w:t> .</w:t>
      </w:r>
    </w:p>
    <w:p w14:paraId="1B955F79" w14:textId="77777777"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p>
    <w:p w14:paraId="489E7F01" w14:textId="77777777" w:rsid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Tan grave como la naturalización del horror es la negación activa de la opinión pública. Los grandes medios de comunicación no están exentos de ello, centrados en la "objetividad" del número de muertos en represalia a la maquinaria de exterminio de </w:t>
      </w:r>
      <w:r w:rsidRPr="00DF36A0">
        <w:rPr>
          <w:rFonts w:ascii="Arial" w:eastAsia="Times New Roman" w:hAnsi="Arial" w:cs="Arial"/>
          <w:b/>
          <w:bCs/>
          <w:color w:val="333333"/>
          <w:kern w:val="0"/>
          <w:sz w:val="26"/>
          <w:szCs w:val="26"/>
          <w:lang w:eastAsia="es-UY"/>
          <w14:ligatures w14:val="none"/>
        </w:rPr>
        <w:t>Netanyahu</w:t>
      </w:r>
      <w:r w:rsidRPr="00DF36A0">
        <w:rPr>
          <w:rFonts w:ascii="Arial" w:eastAsia="Times New Roman" w:hAnsi="Arial" w:cs="Arial"/>
          <w:color w:val="333333"/>
          <w:kern w:val="0"/>
          <w:sz w:val="26"/>
          <w:szCs w:val="26"/>
          <w:lang w:eastAsia="es-UY"/>
          <w14:ligatures w14:val="none"/>
        </w:rPr>
        <w:t> por el pogromo terrorista de </w:t>
      </w:r>
      <w:hyperlink r:id="rId8" w:tgtFrame="_blank" w:history="1">
        <w:r w:rsidRPr="00DF36A0">
          <w:rPr>
            <w:rFonts w:ascii="Arial" w:eastAsia="Times New Roman" w:hAnsi="Arial" w:cs="Arial"/>
            <w:color w:val="FC6B01"/>
            <w:kern w:val="0"/>
            <w:sz w:val="26"/>
            <w:szCs w:val="26"/>
            <w:u w:val="single"/>
            <w:lang w:eastAsia="es-UY"/>
            <w14:ligatures w14:val="none"/>
          </w:rPr>
          <w:t>Hamás</w:t>
        </w:r>
      </w:hyperlink>
      <w:r w:rsidRPr="00DF36A0">
        <w:rPr>
          <w:rFonts w:ascii="Arial" w:eastAsia="Times New Roman" w:hAnsi="Arial" w:cs="Arial"/>
          <w:color w:val="333333"/>
          <w:kern w:val="0"/>
          <w:sz w:val="26"/>
          <w:szCs w:val="26"/>
          <w:lang w:eastAsia="es-UY"/>
          <w14:ligatures w14:val="none"/>
        </w:rPr>
        <w:t> .</w:t>
      </w:r>
    </w:p>
    <w:p w14:paraId="5C58E977" w14:textId="77777777"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p>
    <w:p w14:paraId="037B2441" w14:textId="77777777" w:rsid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 xml:space="preserve">Entre nosotros, un paralelo impactante es la </w:t>
      </w:r>
      <w:proofErr w:type="spellStart"/>
      <w:r w:rsidRPr="00DF36A0">
        <w:rPr>
          <w:rFonts w:ascii="Arial" w:eastAsia="Times New Roman" w:hAnsi="Arial" w:cs="Arial"/>
          <w:color w:val="333333"/>
          <w:kern w:val="0"/>
          <w:sz w:val="26"/>
          <w:szCs w:val="26"/>
          <w:lang w:eastAsia="es-UY"/>
          <w14:ligatures w14:val="none"/>
        </w:rPr>
        <w:t>espectacularización</w:t>
      </w:r>
      <w:proofErr w:type="spellEnd"/>
      <w:r w:rsidRPr="00DF36A0">
        <w:rPr>
          <w:rFonts w:ascii="Arial" w:eastAsia="Times New Roman" w:hAnsi="Arial" w:cs="Arial"/>
          <w:color w:val="333333"/>
          <w:kern w:val="0"/>
          <w:sz w:val="26"/>
          <w:szCs w:val="26"/>
          <w:lang w:eastAsia="es-UY"/>
          <w14:ligatures w14:val="none"/>
        </w:rPr>
        <w:t xml:space="preserve"> periodística de la </w:t>
      </w:r>
      <w:hyperlink r:id="rId9" w:tgtFrame="_blank" w:history="1">
        <w:r w:rsidRPr="00DF36A0">
          <w:rPr>
            <w:rFonts w:ascii="Arial" w:eastAsia="Times New Roman" w:hAnsi="Arial" w:cs="Arial"/>
            <w:color w:val="FC6B01"/>
            <w:kern w:val="0"/>
            <w:sz w:val="26"/>
            <w:szCs w:val="26"/>
            <w:u w:val="single"/>
            <w:lang w:eastAsia="es-UY"/>
            <w14:ligatures w14:val="none"/>
          </w:rPr>
          <w:t>Marcha por Jesús</w:t>
        </w:r>
      </w:hyperlink>
      <w:r w:rsidRPr="00DF36A0">
        <w:rPr>
          <w:rFonts w:ascii="Arial" w:eastAsia="Times New Roman" w:hAnsi="Arial" w:cs="Arial"/>
          <w:color w:val="333333"/>
          <w:kern w:val="0"/>
          <w:sz w:val="26"/>
          <w:szCs w:val="26"/>
          <w:lang w:eastAsia="es-UY"/>
          <w14:ligatures w14:val="none"/>
        </w:rPr>
        <w:t xml:space="preserve"> , en la que el gobernador y el alcalde </w:t>
      </w:r>
      <w:r w:rsidRPr="00DF36A0">
        <w:rPr>
          <w:rFonts w:ascii="Arial" w:eastAsia="Times New Roman" w:hAnsi="Arial" w:cs="Arial"/>
          <w:color w:val="333333"/>
          <w:kern w:val="0"/>
          <w:sz w:val="26"/>
          <w:szCs w:val="26"/>
          <w:lang w:eastAsia="es-UY"/>
          <w14:ligatures w14:val="none"/>
        </w:rPr>
        <w:lastRenderedPageBreak/>
        <w:t>de </w:t>
      </w:r>
      <w:r w:rsidRPr="00DF36A0">
        <w:rPr>
          <w:rFonts w:ascii="Arial" w:eastAsia="Times New Roman" w:hAnsi="Arial" w:cs="Arial"/>
          <w:b/>
          <w:bCs/>
          <w:color w:val="333333"/>
          <w:kern w:val="0"/>
          <w:sz w:val="26"/>
          <w:szCs w:val="26"/>
          <w:lang w:eastAsia="es-UY"/>
          <w14:ligatures w14:val="none"/>
        </w:rPr>
        <w:t>São Paulo</w:t>
      </w:r>
      <w:r w:rsidRPr="00DF36A0">
        <w:rPr>
          <w:rFonts w:ascii="Arial" w:eastAsia="Times New Roman" w:hAnsi="Arial" w:cs="Arial"/>
          <w:color w:val="333333"/>
          <w:kern w:val="0"/>
          <w:sz w:val="26"/>
          <w:szCs w:val="26"/>
          <w:lang w:eastAsia="es-UY"/>
          <w14:ligatures w14:val="none"/>
        </w:rPr>
        <w:t> desfilaron envueltos en banderas </w:t>
      </w:r>
      <w:r w:rsidRPr="00DF36A0">
        <w:rPr>
          <w:rFonts w:ascii="Arial" w:eastAsia="Times New Roman" w:hAnsi="Arial" w:cs="Arial"/>
          <w:b/>
          <w:bCs/>
          <w:color w:val="333333"/>
          <w:kern w:val="0"/>
          <w:sz w:val="26"/>
          <w:szCs w:val="26"/>
          <w:lang w:eastAsia="es-UY"/>
          <w14:ligatures w14:val="none"/>
        </w:rPr>
        <w:t>israelíes</w:t>
      </w:r>
      <w:r w:rsidRPr="00DF36A0">
        <w:rPr>
          <w:rFonts w:ascii="Arial" w:eastAsia="Times New Roman" w:hAnsi="Arial" w:cs="Arial"/>
          <w:color w:val="333333"/>
          <w:kern w:val="0"/>
          <w:sz w:val="26"/>
          <w:szCs w:val="26"/>
          <w:lang w:eastAsia="es-UY"/>
          <w14:ligatures w14:val="none"/>
        </w:rPr>
        <w:t> . Muchos legos dudan de la relevancia de esta pancarta en el evento.</w:t>
      </w:r>
    </w:p>
    <w:p w14:paraId="01C653E9" w14:textId="77777777"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p>
    <w:p w14:paraId="262A91C1" w14:textId="77777777"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El judaísmo no adora </w:t>
      </w:r>
      <w:r w:rsidRPr="00DF36A0">
        <w:rPr>
          <w:rFonts w:ascii="Arial" w:eastAsia="Times New Roman" w:hAnsi="Arial" w:cs="Arial"/>
          <w:b/>
          <w:bCs/>
          <w:color w:val="333333"/>
          <w:kern w:val="0"/>
          <w:sz w:val="26"/>
          <w:szCs w:val="26"/>
          <w:lang w:eastAsia="es-UY"/>
          <w14:ligatures w14:val="none"/>
        </w:rPr>
        <w:t>a Jesús</w:t>
      </w:r>
      <w:r w:rsidRPr="00DF36A0">
        <w:rPr>
          <w:rFonts w:ascii="Arial" w:eastAsia="Times New Roman" w:hAnsi="Arial" w:cs="Arial"/>
          <w:color w:val="333333"/>
          <w:kern w:val="0"/>
          <w:sz w:val="26"/>
          <w:szCs w:val="26"/>
          <w:lang w:eastAsia="es-UY"/>
          <w14:ligatures w14:val="none"/>
        </w:rPr>
        <w:t> , y debió haber confusión entre los israelíes y los hebreos de las </w:t>
      </w:r>
      <w:r w:rsidRPr="00DF36A0">
        <w:rPr>
          <w:rFonts w:ascii="Arial" w:eastAsia="Times New Roman" w:hAnsi="Arial" w:cs="Arial"/>
          <w:b/>
          <w:bCs/>
          <w:color w:val="333333"/>
          <w:kern w:val="0"/>
          <w:sz w:val="26"/>
          <w:szCs w:val="26"/>
          <w:lang w:eastAsia="es-UY"/>
          <w14:ligatures w14:val="none"/>
        </w:rPr>
        <w:t>Escrituras</w:t>
      </w:r>
      <w:r w:rsidRPr="00DF36A0">
        <w:rPr>
          <w:rFonts w:ascii="Arial" w:eastAsia="Times New Roman" w:hAnsi="Arial" w:cs="Arial"/>
          <w:color w:val="333333"/>
          <w:kern w:val="0"/>
          <w:sz w:val="26"/>
          <w:szCs w:val="26"/>
          <w:lang w:eastAsia="es-UY"/>
          <w14:ligatures w14:val="none"/>
        </w:rPr>
        <w:t> . Ni siquiera tenían a Jesús ni una bandera, y mucho menos la que la policía retira a la fuerza de barrios de la zona norte de </w:t>
      </w:r>
      <w:r w:rsidRPr="00DF36A0">
        <w:rPr>
          <w:rFonts w:ascii="Arial" w:eastAsia="Times New Roman" w:hAnsi="Arial" w:cs="Arial"/>
          <w:b/>
          <w:bCs/>
          <w:color w:val="333333"/>
          <w:kern w:val="0"/>
          <w:sz w:val="26"/>
          <w:szCs w:val="26"/>
          <w:lang w:eastAsia="es-UY"/>
          <w14:ligatures w14:val="none"/>
        </w:rPr>
        <w:t>Río</w:t>
      </w:r>
      <w:r w:rsidRPr="00DF36A0">
        <w:rPr>
          <w:rFonts w:ascii="Arial" w:eastAsia="Times New Roman" w:hAnsi="Arial" w:cs="Arial"/>
          <w:color w:val="333333"/>
          <w:kern w:val="0"/>
          <w:sz w:val="26"/>
          <w:szCs w:val="26"/>
          <w:lang w:eastAsia="es-UY"/>
          <w14:ligatures w14:val="none"/>
        </w:rPr>
        <w:t> , agrupados por narcotraficantes, como </w:t>
      </w:r>
      <w:r w:rsidRPr="00DF36A0">
        <w:rPr>
          <w:rFonts w:ascii="Arial" w:eastAsia="Times New Roman" w:hAnsi="Arial" w:cs="Arial"/>
          <w:b/>
          <w:bCs/>
          <w:color w:val="333333"/>
          <w:kern w:val="0"/>
          <w:sz w:val="26"/>
          <w:szCs w:val="26"/>
          <w:lang w:eastAsia="es-UY"/>
          <w14:ligatures w14:val="none"/>
        </w:rPr>
        <w:t>el Complejo de Israel</w:t>
      </w:r>
      <w:r w:rsidRPr="00DF36A0">
        <w:rPr>
          <w:rFonts w:ascii="Arial" w:eastAsia="Times New Roman" w:hAnsi="Arial" w:cs="Arial"/>
          <w:color w:val="333333"/>
          <w:kern w:val="0"/>
          <w:sz w:val="26"/>
          <w:szCs w:val="26"/>
          <w:lang w:eastAsia="es-UY"/>
          <w14:ligatures w14:val="none"/>
        </w:rPr>
        <w:t> , donde los asesinos forman la Banda de Jesús.</w:t>
      </w:r>
    </w:p>
    <w:p w14:paraId="4A265F2C" w14:textId="77777777"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Esta no es la misma venerable deidad </w:t>
      </w:r>
      <w:r w:rsidRPr="00DF36A0">
        <w:rPr>
          <w:rFonts w:ascii="Arial" w:eastAsia="Times New Roman" w:hAnsi="Arial" w:cs="Arial"/>
          <w:b/>
          <w:bCs/>
          <w:color w:val="333333"/>
          <w:kern w:val="0"/>
          <w:sz w:val="26"/>
          <w:szCs w:val="26"/>
          <w:lang w:eastAsia="es-UY"/>
          <w14:ligatures w14:val="none"/>
        </w:rPr>
        <w:t>hebrea</w:t>
      </w:r>
      <w:r w:rsidRPr="00DF36A0">
        <w:rPr>
          <w:rFonts w:ascii="Arial" w:eastAsia="Times New Roman" w:hAnsi="Arial" w:cs="Arial"/>
          <w:color w:val="333333"/>
          <w:kern w:val="0"/>
          <w:sz w:val="26"/>
          <w:szCs w:val="26"/>
          <w:lang w:eastAsia="es-UY"/>
          <w14:ligatures w14:val="none"/>
        </w:rPr>
        <w:t> . A menos que las identificaciones se remonten a pasajes del  </w:t>
      </w:r>
      <w:hyperlink r:id="rId10" w:history="1">
        <w:r w:rsidRPr="00DF36A0">
          <w:rPr>
            <w:rFonts w:ascii="Arial" w:eastAsia="Times New Roman" w:hAnsi="Arial" w:cs="Arial"/>
            <w:color w:val="FC6B01"/>
            <w:kern w:val="0"/>
            <w:sz w:val="26"/>
            <w:szCs w:val="26"/>
            <w:u w:val="single"/>
            <w:lang w:eastAsia="es-UY"/>
            <w14:ligatures w14:val="none"/>
          </w:rPr>
          <w:t>Antiguo Testamento</w:t>
        </w:r>
      </w:hyperlink>
      <w:r w:rsidRPr="00DF36A0">
        <w:rPr>
          <w:rFonts w:ascii="Arial" w:eastAsia="Times New Roman" w:hAnsi="Arial" w:cs="Arial"/>
          <w:color w:val="333333"/>
          <w:kern w:val="0"/>
          <w:sz w:val="26"/>
          <w:szCs w:val="26"/>
          <w:lang w:eastAsia="es-UY"/>
          <w14:ligatures w14:val="none"/>
        </w:rPr>
        <w:t> , en los que el combativo </w:t>
      </w:r>
      <w:r w:rsidRPr="00DF36A0">
        <w:rPr>
          <w:rFonts w:ascii="Arial" w:eastAsia="Times New Roman" w:hAnsi="Arial" w:cs="Arial"/>
          <w:b/>
          <w:bCs/>
          <w:color w:val="333333"/>
          <w:kern w:val="0"/>
          <w:sz w:val="26"/>
          <w:szCs w:val="26"/>
          <w:lang w:eastAsia="es-UY"/>
          <w14:ligatures w14:val="none"/>
        </w:rPr>
        <w:t>David</w:t>
      </w:r>
      <w:r w:rsidRPr="00DF36A0">
        <w:rPr>
          <w:rFonts w:ascii="Arial" w:eastAsia="Times New Roman" w:hAnsi="Arial" w:cs="Arial"/>
          <w:color w:val="333333"/>
          <w:kern w:val="0"/>
          <w:sz w:val="26"/>
          <w:szCs w:val="26"/>
          <w:lang w:eastAsia="es-UY"/>
          <w14:ligatures w14:val="none"/>
        </w:rPr>
        <w:t> , divinamente elegido para gobernar la nación de </w:t>
      </w:r>
      <w:r w:rsidRPr="00DF36A0">
        <w:rPr>
          <w:rFonts w:ascii="Arial" w:eastAsia="Times New Roman" w:hAnsi="Arial" w:cs="Arial"/>
          <w:b/>
          <w:bCs/>
          <w:color w:val="333333"/>
          <w:kern w:val="0"/>
          <w:sz w:val="26"/>
          <w:szCs w:val="26"/>
          <w:lang w:eastAsia="es-UY"/>
          <w14:ligatures w14:val="none"/>
        </w:rPr>
        <w:t>Israel</w:t>
      </w:r>
      <w:r w:rsidRPr="00DF36A0">
        <w:rPr>
          <w:rFonts w:ascii="Arial" w:eastAsia="Times New Roman" w:hAnsi="Arial" w:cs="Arial"/>
          <w:color w:val="333333"/>
          <w:kern w:val="0"/>
          <w:sz w:val="26"/>
          <w:szCs w:val="26"/>
          <w:lang w:eastAsia="es-UY"/>
          <w14:ligatures w14:val="none"/>
        </w:rPr>
        <w:t> y </w:t>
      </w:r>
      <w:r w:rsidRPr="00DF36A0">
        <w:rPr>
          <w:rFonts w:ascii="Arial" w:eastAsia="Times New Roman" w:hAnsi="Arial" w:cs="Arial"/>
          <w:b/>
          <w:bCs/>
          <w:color w:val="333333"/>
          <w:kern w:val="0"/>
          <w:sz w:val="26"/>
          <w:szCs w:val="26"/>
          <w:lang w:eastAsia="es-UY"/>
          <w14:ligatures w14:val="none"/>
        </w:rPr>
        <w:t>Judá</w:t>
      </w:r>
      <w:r w:rsidRPr="00DF36A0">
        <w:rPr>
          <w:rFonts w:ascii="Arial" w:eastAsia="Times New Roman" w:hAnsi="Arial" w:cs="Arial"/>
          <w:color w:val="333333"/>
          <w:kern w:val="0"/>
          <w:sz w:val="26"/>
          <w:szCs w:val="26"/>
          <w:lang w:eastAsia="es-UY"/>
          <w14:ligatures w14:val="none"/>
        </w:rPr>
        <w:t> , se mostró extremadamente cruel con sus enemigos, los filisteos y los amalecitas, quienes los exterminaron a casi todos, mujeres, niños e incluso ganado. En este caso, la inflexibilidad bíblica explica la retórica genocida de </w:t>
      </w:r>
      <w:proofErr w:type="spellStart"/>
      <w:r w:rsidRPr="00DF36A0">
        <w:rPr>
          <w:rFonts w:ascii="Arial" w:eastAsia="Times New Roman" w:hAnsi="Arial" w:cs="Arial"/>
          <w:b/>
          <w:bCs/>
          <w:color w:val="333333"/>
          <w:kern w:val="0"/>
          <w:sz w:val="26"/>
          <w:szCs w:val="26"/>
          <w:lang w:eastAsia="es-UY"/>
          <w14:ligatures w14:val="none"/>
        </w:rPr>
        <w:t>Barashi</w:t>
      </w:r>
      <w:proofErr w:type="spellEnd"/>
      <w:r w:rsidRPr="00DF36A0">
        <w:rPr>
          <w:rFonts w:ascii="Arial" w:eastAsia="Times New Roman" w:hAnsi="Arial" w:cs="Arial"/>
          <w:color w:val="333333"/>
          <w:kern w:val="0"/>
          <w:sz w:val="26"/>
          <w:szCs w:val="26"/>
          <w:lang w:eastAsia="es-UY"/>
          <w14:ligatures w14:val="none"/>
        </w:rPr>
        <w:t> : «Gaza merece la muerte. ¡Los 2,6 millones de </w:t>
      </w:r>
      <w:r w:rsidRPr="00DF36A0">
        <w:rPr>
          <w:rFonts w:ascii="Arial" w:eastAsia="Times New Roman" w:hAnsi="Arial" w:cs="Arial"/>
          <w:b/>
          <w:bCs/>
          <w:color w:val="333333"/>
          <w:kern w:val="0"/>
          <w:sz w:val="26"/>
          <w:szCs w:val="26"/>
          <w:lang w:eastAsia="es-UY"/>
          <w14:ligatures w14:val="none"/>
        </w:rPr>
        <w:t>terroristas en Gaza</w:t>
      </w:r>
      <w:r w:rsidRPr="00DF36A0">
        <w:rPr>
          <w:rFonts w:ascii="Arial" w:eastAsia="Times New Roman" w:hAnsi="Arial" w:cs="Arial"/>
          <w:color w:val="333333"/>
          <w:kern w:val="0"/>
          <w:sz w:val="26"/>
          <w:szCs w:val="26"/>
          <w:lang w:eastAsia="es-UY"/>
          <w14:ligatures w14:val="none"/>
        </w:rPr>
        <w:t> merecen la muerte! Hombres, mujeres y niños, de todas las maneras posibles (...) Sin miedo, sin vacilación, simplemente aplasten, erradiquen, masacren, demuelan, derrumben, aplasten, destruyan». </w:t>
      </w:r>
      <w:hyperlink r:id="rId11" w:tgtFrame="_blank" w:history="1">
        <w:r w:rsidRPr="00DF36A0">
          <w:rPr>
            <w:rFonts w:ascii="Arial" w:eastAsia="Times New Roman" w:hAnsi="Arial" w:cs="Arial"/>
            <w:color w:val="FC6B01"/>
            <w:kern w:val="0"/>
            <w:sz w:val="26"/>
            <w:szCs w:val="26"/>
            <w:u w:val="single"/>
            <w:lang w:eastAsia="es-UY"/>
            <w14:ligatures w14:val="none"/>
          </w:rPr>
          <w:t>Edward Said</w:t>
        </w:r>
      </w:hyperlink>
      <w:r w:rsidRPr="00DF36A0">
        <w:rPr>
          <w:rFonts w:ascii="Arial" w:eastAsia="Times New Roman" w:hAnsi="Arial" w:cs="Arial"/>
          <w:color w:val="333333"/>
          <w:kern w:val="0"/>
          <w:sz w:val="26"/>
          <w:szCs w:val="26"/>
          <w:lang w:eastAsia="es-UY"/>
          <w14:ligatures w14:val="none"/>
        </w:rPr>
        <w:t xml:space="preserve"> , el gran intelectual de la causa </w:t>
      </w:r>
      <w:proofErr w:type="gramStart"/>
      <w:r w:rsidRPr="00DF36A0">
        <w:rPr>
          <w:rFonts w:ascii="Arial" w:eastAsia="Times New Roman" w:hAnsi="Arial" w:cs="Arial"/>
          <w:color w:val="333333"/>
          <w:kern w:val="0"/>
          <w:sz w:val="26"/>
          <w:szCs w:val="26"/>
          <w:lang w:eastAsia="es-UY"/>
          <w14:ligatures w14:val="none"/>
        </w:rPr>
        <w:t>palestina,</w:t>
      </w:r>
      <w:proofErr w:type="gramEnd"/>
      <w:r w:rsidRPr="00DF36A0">
        <w:rPr>
          <w:rFonts w:ascii="Arial" w:eastAsia="Times New Roman" w:hAnsi="Arial" w:cs="Arial"/>
          <w:color w:val="333333"/>
          <w:kern w:val="0"/>
          <w:sz w:val="26"/>
          <w:szCs w:val="26"/>
          <w:lang w:eastAsia="es-UY"/>
          <w14:ligatures w14:val="none"/>
        </w:rPr>
        <w:t xml:space="preserve"> se asombraría: reconoció y aborreció la </w:t>
      </w:r>
      <w:r w:rsidRPr="00DF36A0">
        <w:rPr>
          <w:rFonts w:ascii="Arial" w:eastAsia="Times New Roman" w:hAnsi="Arial" w:cs="Arial"/>
          <w:b/>
          <w:bCs/>
          <w:color w:val="333333"/>
          <w:kern w:val="0"/>
          <w:sz w:val="26"/>
          <w:szCs w:val="26"/>
          <w:lang w:eastAsia="es-UY"/>
          <w14:ligatures w14:val="none"/>
        </w:rPr>
        <w:t>Shoah</w:t>
      </w:r>
      <w:r w:rsidRPr="00DF36A0">
        <w:rPr>
          <w:rFonts w:ascii="Arial" w:eastAsia="Times New Roman" w:hAnsi="Arial" w:cs="Arial"/>
          <w:color w:val="333333"/>
          <w:kern w:val="0"/>
          <w:sz w:val="26"/>
          <w:szCs w:val="26"/>
          <w:lang w:eastAsia="es-UY"/>
          <w14:ligatures w14:val="none"/>
        </w:rPr>
        <w:t> , el Holocausto de los judíos.</w:t>
      </w:r>
    </w:p>
    <w:p w14:paraId="3D1DEE74" w14:textId="77777777" w:rsidR="00DF36A0" w:rsidRPr="00DF36A0" w:rsidRDefault="00DF36A0" w:rsidP="00DF36A0">
      <w:pPr>
        <w:spacing w:after="0" w:line="240" w:lineRule="auto"/>
        <w:jc w:val="both"/>
        <w:rPr>
          <w:rFonts w:ascii="Arial" w:eastAsia="Times New Roman" w:hAnsi="Arial" w:cs="Arial"/>
          <w:color w:val="333333"/>
          <w:kern w:val="0"/>
          <w:sz w:val="26"/>
          <w:szCs w:val="26"/>
          <w:lang w:eastAsia="es-UY"/>
          <w14:ligatures w14:val="none"/>
        </w:rPr>
      </w:pPr>
      <w:r w:rsidRPr="00DF36A0">
        <w:rPr>
          <w:rFonts w:ascii="Arial" w:eastAsia="Times New Roman" w:hAnsi="Arial" w:cs="Arial"/>
          <w:color w:val="333333"/>
          <w:kern w:val="0"/>
          <w:sz w:val="26"/>
          <w:szCs w:val="26"/>
          <w:lang w:eastAsia="es-UY"/>
          <w14:ligatures w14:val="none"/>
        </w:rPr>
        <w:t xml:space="preserve">Este terror va más allá del pacifismo de la marcha. </w:t>
      </w:r>
      <w:proofErr w:type="gramStart"/>
      <w:r w:rsidRPr="00DF36A0">
        <w:rPr>
          <w:rFonts w:ascii="Arial" w:eastAsia="Times New Roman" w:hAnsi="Arial" w:cs="Arial"/>
          <w:color w:val="333333"/>
          <w:kern w:val="0"/>
          <w:sz w:val="26"/>
          <w:szCs w:val="26"/>
          <w:lang w:eastAsia="es-UY"/>
          <w14:ligatures w14:val="none"/>
        </w:rPr>
        <w:t>Pero,</w:t>
      </w:r>
      <w:proofErr w:type="gramEnd"/>
      <w:r w:rsidRPr="00DF36A0">
        <w:rPr>
          <w:rFonts w:ascii="Arial" w:eastAsia="Times New Roman" w:hAnsi="Arial" w:cs="Arial"/>
          <w:color w:val="333333"/>
          <w:kern w:val="0"/>
          <w:sz w:val="26"/>
          <w:szCs w:val="26"/>
          <w:lang w:eastAsia="es-UY"/>
          <w14:ligatures w14:val="none"/>
        </w:rPr>
        <w:t xml:space="preserve"> ¿por qué marchar, se preguntaría el profano, si Jesús caminó con pasos cristianos junto a sus seguidores? No hay una respuesta cívico-militar: el argumento de peso serían los 590 millones que el evento inyectó al comercio, en la misma semana en que aumentaron las exenciones fiscales para las iglesias. Algo que contradice el Evangelio ( </w:t>
      </w:r>
      <w:r w:rsidRPr="00DF36A0">
        <w:rPr>
          <w:rFonts w:ascii="Arial" w:eastAsia="Times New Roman" w:hAnsi="Arial" w:cs="Arial"/>
          <w:b/>
          <w:bCs/>
          <w:color w:val="333333"/>
          <w:kern w:val="0"/>
          <w:sz w:val="26"/>
          <w:szCs w:val="26"/>
          <w:lang w:eastAsia="es-UY"/>
          <w14:ligatures w14:val="none"/>
        </w:rPr>
        <w:t>Lucas 6:13</w:t>
      </w:r>
      <w:r w:rsidRPr="00DF36A0">
        <w:rPr>
          <w:rFonts w:ascii="Arial" w:eastAsia="Times New Roman" w:hAnsi="Arial" w:cs="Arial"/>
          <w:color w:val="333333"/>
          <w:kern w:val="0"/>
          <w:sz w:val="26"/>
          <w:szCs w:val="26"/>
          <w:lang w:eastAsia="es-UY"/>
          <w14:ligatures w14:val="none"/>
        </w:rPr>
        <w:t xml:space="preserve"> ), que afirma que no se puede servir a Dios y a </w:t>
      </w:r>
      <w:proofErr w:type="spellStart"/>
      <w:r w:rsidRPr="00DF36A0">
        <w:rPr>
          <w:rFonts w:ascii="Arial" w:eastAsia="Times New Roman" w:hAnsi="Arial" w:cs="Arial"/>
          <w:color w:val="333333"/>
          <w:kern w:val="0"/>
          <w:sz w:val="26"/>
          <w:szCs w:val="26"/>
          <w:lang w:eastAsia="es-UY"/>
          <w14:ligatures w14:val="none"/>
        </w:rPr>
        <w:t>Mammón</w:t>
      </w:r>
      <w:proofErr w:type="spellEnd"/>
      <w:r w:rsidRPr="00DF36A0">
        <w:rPr>
          <w:rFonts w:ascii="Arial" w:eastAsia="Times New Roman" w:hAnsi="Arial" w:cs="Arial"/>
          <w:color w:val="333333"/>
          <w:kern w:val="0"/>
          <w:sz w:val="26"/>
          <w:szCs w:val="26"/>
          <w:lang w:eastAsia="es-UY"/>
          <w14:ligatures w14:val="none"/>
        </w:rPr>
        <w:t xml:space="preserve"> (el demonio bíblico de las finanzas) al mismo tiempo. El gobernador o bien lo ignora o lo ha olvidado en su retórica teocrática. De hecho, también olvidó la gorra de </w:t>
      </w:r>
      <w:r w:rsidRPr="00DF36A0">
        <w:rPr>
          <w:rFonts w:ascii="Arial" w:eastAsia="Times New Roman" w:hAnsi="Arial" w:cs="Arial"/>
          <w:b/>
          <w:bCs/>
          <w:color w:val="333333"/>
          <w:kern w:val="0"/>
          <w:sz w:val="26"/>
          <w:szCs w:val="26"/>
          <w:lang w:eastAsia="es-UY"/>
          <w14:ligatures w14:val="none"/>
        </w:rPr>
        <w:t>Trump</w:t>
      </w:r>
      <w:r w:rsidRPr="00DF36A0">
        <w:rPr>
          <w:rFonts w:ascii="Arial" w:eastAsia="Times New Roman" w:hAnsi="Arial" w:cs="Arial"/>
          <w:color w:val="333333"/>
          <w:kern w:val="0"/>
          <w:sz w:val="26"/>
          <w:szCs w:val="26"/>
          <w:lang w:eastAsia="es-UY"/>
          <w14:ligatures w14:val="none"/>
        </w:rPr>
        <w:t> en casa .</w:t>
      </w:r>
    </w:p>
    <w:p w14:paraId="4051BF51" w14:textId="2BC29199" w:rsidR="00DF36A0" w:rsidRPr="00DF36A0" w:rsidRDefault="00DF36A0" w:rsidP="00DF36A0">
      <w:pPr>
        <w:spacing w:after="0" w:line="240" w:lineRule="auto"/>
        <w:jc w:val="both"/>
        <w:outlineLvl w:val="1"/>
        <w:rPr>
          <w:rFonts w:ascii="Arial" w:eastAsia="Times New Roman" w:hAnsi="Arial" w:cs="Arial"/>
          <w:b/>
          <w:bCs/>
          <w:color w:val="333333"/>
          <w:kern w:val="0"/>
          <w:sz w:val="36"/>
          <w:szCs w:val="36"/>
          <w:lang w:eastAsia="es-UY"/>
          <w14:ligatures w14:val="none"/>
        </w:rPr>
      </w:pPr>
    </w:p>
    <w:p w14:paraId="4FB95AB5" w14:textId="52C1C280" w:rsidR="00926044" w:rsidRDefault="00DF36A0">
      <w:hyperlink r:id="rId12" w:history="1">
        <w:r w:rsidRPr="00044C22">
          <w:rPr>
            <w:rStyle w:val="Hipervnculo"/>
          </w:rPr>
          <w:t>https://www.ihu.unisinos.br/654148-a-negacao-ativa-do-horror-artigo-de-muniz-sodre?utm_campaign=07-07-2025&amp;utm_medium=email&amp;utm_source=RD+Station</w:t>
        </w:r>
      </w:hyperlink>
    </w:p>
    <w:p w14:paraId="7ED3AF9C" w14:textId="77777777" w:rsidR="00DF36A0" w:rsidRDefault="00DF36A0"/>
    <w:sectPr w:rsidR="00DF36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6A0"/>
    <w:rsid w:val="008708D7"/>
    <w:rsid w:val="00926044"/>
    <w:rsid w:val="00DE17AC"/>
    <w:rsid w:val="00DF36A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E913"/>
  <w15:chartTrackingRefBased/>
  <w15:docId w15:val="{98CC5B20-E5D1-4964-8F2D-1E11EAD2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F36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36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36A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36A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36A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36A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36A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36A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36A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36A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36A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36A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36A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36A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36A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36A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36A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36A0"/>
    <w:rPr>
      <w:rFonts w:eastAsiaTheme="majorEastAsia" w:cstheme="majorBidi"/>
      <w:color w:val="272727" w:themeColor="text1" w:themeTint="D8"/>
    </w:rPr>
  </w:style>
  <w:style w:type="paragraph" w:styleId="Ttulo">
    <w:name w:val="Title"/>
    <w:basedOn w:val="Normal"/>
    <w:next w:val="Normal"/>
    <w:link w:val="TtuloCar"/>
    <w:uiPriority w:val="10"/>
    <w:qFormat/>
    <w:rsid w:val="00DF36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36A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36A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36A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36A0"/>
    <w:pPr>
      <w:spacing w:before="160"/>
      <w:jc w:val="center"/>
    </w:pPr>
    <w:rPr>
      <w:i/>
      <w:iCs/>
      <w:color w:val="404040" w:themeColor="text1" w:themeTint="BF"/>
    </w:rPr>
  </w:style>
  <w:style w:type="character" w:customStyle="1" w:styleId="CitaCar">
    <w:name w:val="Cita Car"/>
    <w:basedOn w:val="Fuentedeprrafopredeter"/>
    <w:link w:val="Cita"/>
    <w:uiPriority w:val="29"/>
    <w:rsid w:val="00DF36A0"/>
    <w:rPr>
      <w:i/>
      <w:iCs/>
      <w:color w:val="404040" w:themeColor="text1" w:themeTint="BF"/>
    </w:rPr>
  </w:style>
  <w:style w:type="paragraph" w:styleId="Prrafodelista">
    <w:name w:val="List Paragraph"/>
    <w:basedOn w:val="Normal"/>
    <w:uiPriority w:val="34"/>
    <w:qFormat/>
    <w:rsid w:val="00DF36A0"/>
    <w:pPr>
      <w:ind w:left="720"/>
      <w:contextualSpacing/>
    </w:pPr>
  </w:style>
  <w:style w:type="character" w:styleId="nfasisintenso">
    <w:name w:val="Intense Emphasis"/>
    <w:basedOn w:val="Fuentedeprrafopredeter"/>
    <w:uiPriority w:val="21"/>
    <w:qFormat/>
    <w:rsid w:val="00DF36A0"/>
    <w:rPr>
      <w:i/>
      <w:iCs/>
      <w:color w:val="0F4761" w:themeColor="accent1" w:themeShade="BF"/>
    </w:rPr>
  </w:style>
  <w:style w:type="paragraph" w:styleId="Citadestacada">
    <w:name w:val="Intense Quote"/>
    <w:basedOn w:val="Normal"/>
    <w:next w:val="Normal"/>
    <w:link w:val="CitadestacadaCar"/>
    <w:uiPriority w:val="30"/>
    <w:qFormat/>
    <w:rsid w:val="00DF36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36A0"/>
    <w:rPr>
      <w:i/>
      <w:iCs/>
      <w:color w:val="0F4761" w:themeColor="accent1" w:themeShade="BF"/>
    </w:rPr>
  </w:style>
  <w:style w:type="character" w:styleId="Referenciaintensa">
    <w:name w:val="Intense Reference"/>
    <w:basedOn w:val="Fuentedeprrafopredeter"/>
    <w:uiPriority w:val="32"/>
    <w:qFormat/>
    <w:rsid w:val="00DF36A0"/>
    <w:rPr>
      <w:b/>
      <w:bCs/>
      <w:smallCaps/>
      <w:color w:val="0F4761" w:themeColor="accent1" w:themeShade="BF"/>
      <w:spacing w:val="5"/>
    </w:rPr>
  </w:style>
  <w:style w:type="character" w:styleId="Hipervnculo">
    <w:name w:val="Hyperlink"/>
    <w:basedOn w:val="Fuentedeprrafopredeter"/>
    <w:uiPriority w:val="99"/>
    <w:unhideWhenUsed/>
    <w:rsid w:val="00DF36A0"/>
    <w:rPr>
      <w:color w:val="467886" w:themeColor="hyperlink"/>
      <w:u w:val="single"/>
    </w:rPr>
  </w:style>
  <w:style w:type="character" w:styleId="Mencinsinresolver">
    <w:name w:val="Unresolved Mention"/>
    <w:basedOn w:val="Fuentedeprrafopredeter"/>
    <w:uiPriority w:val="99"/>
    <w:semiHidden/>
    <w:unhideWhenUsed/>
    <w:rsid w:val="00DF36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1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50847-hamas-diz-estar-disposto-a-libertar-todos-os-refens-em-troca-do-fim-da-guerra-em-gaz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hu.unisinos.br/categorias/159-entrevistas/594437-euclides-da-cunha-kafka-morrison-conrad-e-balzac-a-literatura-para-pensar-o-brasil-entrevista-especial-com-kelvin-falcao-klein" TargetMode="External"/><Relationship Id="rId12" Type="http://schemas.openxmlformats.org/officeDocument/2006/relationships/hyperlink" Target="https://www.ihu.unisinos.br/654148-a-negacao-ativa-do-horror-artigo-de-muniz-sodre?utm_campaign=07-07-2025&amp;utm_medium=email&amp;utm_source=RD+S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50882-genocidios-em-primeira-pessoa-omer-bartov-o-holocausto-e-israel-palestina-artigo-de-jean-fabien-spitz" TargetMode="External"/><Relationship Id="rId11" Type="http://schemas.openxmlformats.org/officeDocument/2006/relationships/hyperlink" Target="https://www.ihu.unisinos.br/categorias/650634-o-humanismo-de-edward-said-artigo-de-homero-santiago" TargetMode="External"/><Relationship Id="rId5" Type="http://schemas.openxmlformats.org/officeDocument/2006/relationships/hyperlink" Target="https://ihu.unisinos.br/643662-bobo-da-corte-e-coach-de-idiotia-politica-artigo-de-muniz-sodre" TargetMode="External"/><Relationship Id="rId10" Type="http://schemas.openxmlformats.org/officeDocument/2006/relationships/hyperlink" Target="https://www.ihu.unisinos.br/categorias/599847-o-bom-deus-do-antigo-testamento-artigo-de-jose-luis-caravias-s-j" TargetMode="External"/><Relationship Id="rId4" Type="http://schemas.openxmlformats.org/officeDocument/2006/relationships/image" Target="media/image1.png"/><Relationship Id="rId9" Type="http://schemas.openxmlformats.org/officeDocument/2006/relationships/hyperlink" Target="https://www.ihu.unisinos.br/categorias/590263-quem-disser-amo-a-deus-mas-odeia-o-irmao-e-mentiroso-entrevista-com-leonardo-boff"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846</Words>
  <Characters>4654</Characters>
  <Application>Microsoft Office Word</Application>
  <DocSecurity>0</DocSecurity>
  <Lines>38</Lines>
  <Paragraphs>10</Paragraphs>
  <ScaleCrop>false</ScaleCrop>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2025-07-07T12:55:00Z</dcterms:created>
  <dcterms:modified xsi:type="dcterms:W3CDTF">2025-07-07T12:57:00Z</dcterms:modified>
</cp:coreProperties>
</file>