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636B6" w14:textId="77777777" w:rsidR="00151ACB" w:rsidRPr="00151ACB" w:rsidRDefault="00151ACB" w:rsidP="00151ACB">
      <w:pPr>
        <w:spacing w:after="375" w:line="435" w:lineRule="atLeast"/>
        <w:jc w:val="both"/>
        <w:outlineLvl w:val="0"/>
        <w:rPr>
          <w:rFonts w:ascii="Open Sans" w:eastAsia="Times New Roman" w:hAnsi="Open Sans" w:cs="Open Sans"/>
          <w:b/>
          <w:bCs/>
          <w:color w:val="333333"/>
          <w:kern w:val="36"/>
          <w:sz w:val="38"/>
          <w:szCs w:val="38"/>
          <w:lang w:eastAsia="es-UY"/>
          <w14:ligatures w14:val="none"/>
        </w:rPr>
      </w:pPr>
      <w:proofErr w:type="spellStart"/>
      <w:r w:rsidRPr="00151ACB">
        <w:rPr>
          <w:rFonts w:ascii="Open Sans" w:eastAsia="Times New Roman" w:hAnsi="Open Sans" w:cs="Open Sans"/>
          <w:b/>
          <w:bCs/>
          <w:color w:val="333333"/>
          <w:kern w:val="36"/>
          <w:sz w:val="38"/>
          <w:szCs w:val="38"/>
          <w:lang w:eastAsia="es-UY"/>
          <w14:ligatures w14:val="none"/>
        </w:rPr>
        <w:t>Paglia</w:t>
      </w:r>
      <w:proofErr w:type="spellEnd"/>
      <w:r w:rsidRPr="00151ACB">
        <w:rPr>
          <w:rFonts w:ascii="Open Sans" w:eastAsia="Times New Roman" w:hAnsi="Open Sans" w:cs="Open Sans"/>
          <w:b/>
          <w:bCs/>
          <w:color w:val="333333"/>
          <w:kern w:val="36"/>
          <w:sz w:val="38"/>
          <w:szCs w:val="38"/>
          <w:lang w:eastAsia="es-UY"/>
          <w14:ligatures w14:val="none"/>
        </w:rPr>
        <w:t>: "León XIV continuará la visión de Francisco. Existe una gran continuidad entre los pontificados”</w:t>
      </w:r>
    </w:p>
    <w:p w14:paraId="438DCB72" w14:textId="77777777" w:rsidR="00151ACB" w:rsidRPr="00151ACB" w:rsidRDefault="00151ACB" w:rsidP="00151ACB">
      <w:pPr>
        <w:spacing w:after="0" w:line="240" w:lineRule="auto"/>
        <w:rPr>
          <w:rFonts w:ascii="Times New Roman" w:eastAsia="Times New Roman" w:hAnsi="Times New Roman" w:cs="Times New Roman"/>
          <w:kern w:val="0"/>
          <w:sz w:val="24"/>
          <w:szCs w:val="24"/>
          <w:lang w:eastAsia="es-UY"/>
          <w14:ligatures w14:val="none"/>
        </w:rPr>
      </w:pPr>
      <w:r w:rsidRPr="00151ACB">
        <w:rPr>
          <w:rFonts w:ascii="Times New Roman" w:eastAsia="Times New Roman" w:hAnsi="Times New Roman" w:cs="Times New Roman"/>
          <w:noProof/>
          <w:kern w:val="0"/>
          <w:sz w:val="24"/>
          <w:szCs w:val="24"/>
          <w:lang w:eastAsia="es-UY"/>
          <w14:ligatures w14:val="none"/>
        </w:rPr>
        <w:drawing>
          <wp:inline distT="0" distB="0" distL="0" distR="0" wp14:anchorId="4AF05000" wp14:editId="2666BDA9">
            <wp:extent cx="5226050" cy="2935034"/>
            <wp:effectExtent l="0" t="0" r="0" b="0"/>
            <wp:docPr id="1" name="Imagen 1" descr="Vincenzo Pag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ncenzo Pagl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40256" cy="2943012"/>
                    </a:xfrm>
                    <a:prstGeom prst="rect">
                      <a:avLst/>
                    </a:prstGeom>
                    <a:noFill/>
                    <a:ln>
                      <a:noFill/>
                    </a:ln>
                  </pic:spPr>
                </pic:pic>
              </a:graphicData>
            </a:graphic>
          </wp:inline>
        </w:drawing>
      </w:r>
    </w:p>
    <w:p w14:paraId="31C2A8C9" w14:textId="77777777" w:rsidR="00151ACB" w:rsidRPr="00151ACB" w:rsidRDefault="00151ACB" w:rsidP="00151ACB">
      <w:pPr>
        <w:spacing w:line="240" w:lineRule="auto"/>
        <w:rPr>
          <w:rFonts w:ascii="Times New Roman" w:eastAsia="Times New Roman" w:hAnsi="Times New Roman" w:cs="Times New Roman"/>
          <w:kern w:val="0"/>
          <w:sz w:val="24"/>
          <w:szCs w:val="24"/>
          <w:lang w:eastAsia="es-UY"/>
          <w14:ligatures w14:val="none"/>
        </w:rPr>
      </w:pPr>
      <w:proofErr w:type="spellStart"/>
      <w:r w:rsidRPr="00151ACB">
        <w:rPr>
          <w:rFonts w:ascii="Times New Roman" w:eastAsia="Times New Roman" w:hAnsi="Times New Roman" w:cs="Times New Roman"/>
          <w:kern w:val="0"/>
          <w:sz w:val="24"/>
          <w:szCs w:val="24"/>
          <w:lang w:eastAsia="es-UY"/>
          <w14:ligatures w14:val="none"/>
        </w:rPr>
        <w:t>Vincenzo</w:t>
      </w:r>
      <w:proofErr w:type="spellEnd"/>
      <w:r w:rsidRPr="00151ACB">
        <w:rPr>
          <w:rFonts w:ascii="Times New Roman" w:eastAsia="Times New Roman" w:hAnsi="Times New Roman" w:cs="Times New Roman"/>
          <w:kern w:val="0"/>
          <w:sz w:val="24"/>
          <w:szCs w:val="24"/>
          <w:lang w:eastAsia="es-UY"/>
          <w14:ligatures w14:val="none"/>
        </w:rPr>
        <w:t xml:space="preserve"> </w:t>
      </w:r>
      <w:proofErr w:type="spellStart"/>
      <w:r w:rsidRPr="00151ACB">
        <w:rPr>
          <w:rFonts w:ascii="Times New Roman" w:eastAsia="Times New Roman" w:hAnsi="Times New Roman" w:cs="Times New Roman"/>
          <w:kern w:val="0"/>
          <w:sz w:val="24"/>
          <w:szCs w:val="24"/>
          <w:lang w:eastAsia="es-UY"/>
          <w14:ligatures w14:val="none"/>
        </w:rPr>
        <w:t>Paglia</w:t>
      </w:r>
      <w:proofErr w:type="spellEnd"/>
      <w:r w:rsidRPr="00151ACB">
        <w:rPr>
          <w:rFonts w:ascii="Times New Roman" w:eastAsia="Times New Roman" w:hAnsi="Times New Roman" w:cs="Times New Roman"/>
          <w:kern w:val="0"/>
          <w:sz w:val="24"/>
          <w:szCs w:val="24"/>
          <w:lang w:eastAsia="es-UY"/>
          <w14:ligatures w14:val="none"/>
        </w:rPr>
        <w:t> </w:t>
      </w:r>
      <w:r w:rsidRPr="00151ACB">
        <w:rPr>
          <w:rFonts w:ascii="Times New Roman" w:eastAsia="Times New Roman" w:hAnsi="Times New Roman" w:cs="Times New Roman"/>
          <w:color w:val="8C8C8C"/>
          <w:kern w:val="0"/>
          <w:sz w:val="24"/>
          <w:szCs w:val="24"/>
          <w:lang w:eastAsia="es-UY"/>
          <w14:ligatures w14:val="none"/>
        </w:rPr>
        <w:t>IJPII</w:t>
      </w:r>
    </w:p>
    <w:p w14:paraId="5E8B7B35" w14:textId="77777777" w:rsidR="00151ACB" w:rsidRPr="00151ACB" w:rsidRDefault="00151ACB" w:rsidP="00151ACB">
      <w:pPr>
        <w:spacing w:after="100" w:afterAutospacing="1"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151ACB">
        <w:rPr>
          <w:rFonts w:ascii="Montserrat" w:eastAsia="Times New Roman" w:hAnsi="Montserrat" w:cs="Times New Roman"/>
          <w:b/>
          <w:bCs/>
          <w:color w:val="BF4E14" w:themeColor="accent2" w:themeShade="BF"/>
          <w:kern w:val="0"/>
          <w:sz w:val="26"/>
          <w:szCs w:val="26"/>
          <w:lang w:eastAsia="es-UY"/>
          <w14:ligatures w14:val="none"/>
        </w:rPr>
        <w:t xml:space="preserve">El arzobispo italiano </w:t>
      </w:r>
      <w:proofErr w:type="spellStart"/>
      <w:r w:rsidRPr="00151ACB">
        <w:rPr>
          <w:rFonts w:ascii="Montserrat" w:eastAsia="Times New Roman" w:hAnsi="Montserrat" w:cs="Times New Roman"/>
          <w:b/>
          <w:bCs/>
          <w:color w:val="BF4E14" w:themeColor="accent2" w:themeShade="BF"/>
          <w:kern w:val="0"/>
          <w:sz w:val="26"/>
          <w:szCs w:val="26"/>
          <w:lang w:eastAsia="es-UY"/>
          <w14:ligatures w14:val="none"/>
        </w:rPr>
        <w:t>Vincenzo</w:t>
      </w:r>
      <w:proofErr w:type="spellEnd"/>
      <w:r w:rsidRPr="00151ACB">
        <w:rPr>
          <w:rFonts w:ascii="Montserrat" w:eastAsia="Times New Roman" w:hAnsi="Montserrat" w:cs="Times New Roman"/>
          <w:b/>
          <w:bCs/>
          <w:color w:val="BF4E14" w:themeColor="accent2" w:themeShade="BF"/>
          <w:kern w:val="0"/>
          <w:sz w:val="26"/>
          <w:szCs w:val="26"/>
          <w:lang w:eastAsia="es-UY"/>
          <w14:ligatures w14:val="none"/>
        </w:rPr>
        <w:t xml:space="preserve"> </w:t>
      </w:r>
      <w:proofErr w:type="spellStart"/>
      <w:r w:rsidRPr="00151ACB">
        <w:rPr>
          <w:rFonts w:ascii="Montserrat" w:eastAsia="Times New Roman" w:hAnsi="Montserrat" w:cs="Times New Roman"/>
          <w:b/>
          <w:bCs/>
          <w:color w:val="BF4E14" w:themeColor="accent2" w:themeShade="BF"/>
          <w:kern w:val="0"/>
          <w:sz w:val="26"/>
          <w:szCs w:val="26"/>
          <w:lang w:eastAsia="es-UY"/>
          <w14:ligatures w14:val="none"/>
        </w:rPr>
        <w:t>Paglia</w:t>
      </w:r>
      <w:proofErr w:type="spellEnd"/>
      <w:r w:rsidRPr="00151ACB">
        <w:rPr>
          <w:rFonts w:ascii="Montserrat" w:eastAsia="Times New Roman" w:hAnsi="Montserrat" w:cs="Times New Roman"/>
          <w:b/>
          <w:bCs/>
          <w:color w:val="BF4E14" w:themeColor="accent2" w:themeShade="BF"/>
          <w:kern w:val="0"/>
          <w:sz w:val="26"/>
          <w:szCs w:val="26"/>
          <w:lang w:eastAsia="es-UY"/>
          <w14:ligatures w14:val="none"/>
        </w:rPr>
        <w:t xml:space="preserve"> ha sido una de las voces más libres durante el pontificado de Francisco, y por eso mismo, en el punto de mira de los sectores más intransigentes de la Iglesia</w:t>
      </w:r>
    </w:p>
    <w:p w14:paraId="2802888E" w14:textId="77777777" w:rsidR="00151ACB" w:rsidRPr="00151ACB" w:rsidRDefault="00151ACB" w:rsidP="00151ACB">
      <w:pPr>
        <w:spacing w:after="100" w:afterAutospacing="1"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151ACB">
        <w:rPr>
          <w:rFonts w:ascii="Montserrat" w:eastAsia="Times New Roman" w:hAnsi="Montserrat" w:cs="Times New Roman"/>
          <w:b/>
          <w:bCs/>
          <w:color w:val="BF4E14" w:themeColor="accent2" w:themeShade="BF"/>
          <w:kern w:val="0"/>
          <w:sz w:val="26"/>
          <w:szCs w:val="26"/>
          <w:lang w:eastAsia="es-UY"/>
          <w14:ligatures w14:val="none"/>
        </w:rPr>
        <w:t xml:space="preserve">Transitó, con plena anuencia del Papa jesuita, por la frontera de la teología y la bioética, en diálogo sincero y plural con otras disciplinas, desde la Academia Pontificia para la Vida, que presidió desde 2016 y hasta hace unas semanas, al cumplir los 80 </w:t>
      </w:r>
      <w:proofErr w:type="gramStart"/>
      <w:r w:rsidRPr="00151ACB">
        <w:rPr>
          <w:rFonts w:ascii="Montserrat" w:eastAsia="Times New Roman" w:hAnsi="Montserrat" w:cs="Times New Roman"/>
          <w:b/>
          <w:bCs/>
          <w:color w:val="BF4E14" w:themeColor="accent2" w:themeShade="BF"/>
          <w:kern w:val="0"/>
          <w:sz w:val="26"/>
          <w:szCs w:val="26"/>
          <w:lang w:eastAsia="es-UY"/>
          <w14:ligatures w14:val="none"/>
        </w:rPr>
        <w:t>años de edad</w:t>
      </w:r>
      <w:proofErr w:type="gramEnd"/>
    </w:p>
    <w:p w14:paraId="043D836F" w14:textId="77777777" w:rsidR="00151ACB" w:rsidRPr="00151ACB" w:rsidRDefault="00151ACB" w:rsidP="00151ACB">
      <w:pPr>
        <w:spacing w:after="100" w:afterAutospacing="1"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151ACB">
        <w:rPr>
          <w:rFonts w:ascii="Montserrat" w:eastAsia="Times New Roman" w:hAnsi="Montserrat" w:cs="Times New Roman"/>
          <w:b/>
          <w:bCs/>
          <w:color w:val="BF4E14" w:themeColor="accent2" w:themeShade="BF"/>
          <w:kern w:val="0"/>
          <w:sz w:val="26"/>
          <w:szCs w:val="26"/>
          <w:lang w:eastAsia="es-UY"/>
          <w14:ligatures w14:val="none"/>
        </w:rPr>
        <w:t xml:space="preserve">Frente al miedo al avance, </w:t>
      </w:r>
      <w:proofErr w:type="spellStart"/>
      <w:r w:rsidRPr="00151ACB">
        <w:rPr>
          <w:rFonts w:ascii="Montserrat" w:eastAsia="Times New Roman" w:hAnsi="Montserrat" w:cs="Times New Roman"/>
          <w:b/>
          <w:bCs/>
          <w:color w:val="BF4E14" w:themeColor="accent2" w:themeShade="BF"/>
          <w:kern w:val="0"/>
          <w:sz w:val="26"/>
          <w:szCs w:val="26"/>
          <w:lang w:eastAsia="es-UY"/>
          <w14:ligatures w14:val="none"/>
        </w:rPr>
        <w:t>Paglia</w:t>
      </w:r>
      <w:proofErr w:type="spellEnd"/>
      <w:r w:rsidRPr="00151ACB">
        <w:rPr>
          <w:rFonts w:ascii="Montserrat" w:eastAsia="Times New Roman" w:hAnsi="Montserrat" w:cs="Times New Roman"/>
          <w:b/>
          <w:bCs/>
          <w:color w:val="BF4E14" w:themeColor="accent2" w:themeShade="BF"/>
          <w:kern w:val="0"/>
          <w:sz w:val="26"/>
          <w:szCs w:val="26"/>
          <w:lang w:eastAsia="es-UY"/>
          <w14:ligatures w14:val="none"/>
        </w:rPr>
        <w:t xml:space="preserve"> regó con visiones más pluralistas y dialogantes los temas y el plantel de expertos que asesoraban a la Pontificia Academia, y también al en su momento muy controvertido Instituto Teológico Pontificio Juan Pablo II</w:t>
      </w:r>
    </w:p>
    <w:p w14:paraId="46E7F69E" w14:textId="77777777" w:rsidR="00151ACB" w:rsidRPr="00151ACB" w:rsidRDefault="00151ACB" w:rsidP="00151ACB">
      <w:pPr>
        <w:spacing w:after="100" w:afterAutospacing="1"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151ACB">
        <w:rPr>
          <w:rFonts w:ascii="Montserrat" w:eastAsia="Times New Roman" w:hAnsi="Montserrat" w:cs="Times New Roman"/>
          <w:b/>
          <w:bCs/>
          <w:color w:val="BF4E14" w:themeColor="accent2" w:themeShade="BF"/>
          <w:kern w:val="0"/>
          <w:sz w:val="26"/>
          <w:szCs w:val="26"/>
          <w:lang w:eastAsia="es-UY"/>
          <w14:ligatures w14:val="none"/>
        </w:rPr>
        <w:t>“El papa Francisco nos dijo que no se puede hacer teología con un «no» en la mente. Los teólogos deben trabajar, reflexionar y dialogar para contribuir al desarrollo del Magisterio”</w:t>
      </w:r>
    </w:p>
    <w:p w14:paraId="4BECD534" w14:textId="77777777" w:rsidR="00151ACB" w:rsidRPr="00151ACB" w:rsidRDefault="00151ACB" w:rsidP="00151ACB">
      <w:pPr>
        <w:spacing w:after="150" w:line="240" w:lineRule="auto"/>
        <w:jc w:val="both"/>
        <w:rPr>
          <w:rFonts w:ascii="inherit" w:eastAsia="Times New Roman" w:hAnsi="inherit" w:cs="Times New Roman"/>
          <w:b/>
          <w:bCs/>
          <w:i/>
          <w:iCs/>
          <w:color w:val="333333"/>
          <w:kern w:val="0"/>
          <w:sz w:val="20"/>
          <w:szCs w:val="20"/>
          <w:lang w:eastAsia="es-UY"/>
          <w14:ligatures w14:val="none"/>
        </w:rPr>
      </w:pPr>
      <w:r w:rsidRPr="00151ACB">
        <w:rPr>
          <w:rFonts w:ascii="inherit" w:eastAsia="Times New Roman" w:hAnsi="inherit" w:cs="Times New Roman"/>
          <w:b/>
          <w:bCs/>
          <w:i/>
          <w:iCs/>
          <w:color w:val="333333"/>
          <w:kern w:val="0"/>
          <w:sz w:val="20"/>
          <w:szCs w:val="20"/>
          <w:lang w:eastAsia="es-UY"/>
          <w14:ligatures w14:val="none"/>
        </w:rPr>
        <w:lastRenderedPageBreak/>
        <w:t>03.06.2025 </w:t>
      </w:r>
      <w:hyperlink r:id="rId6" w:history="1">
        <w:r w:rsidRPr="00151ACB">
          <w:rPr>
            <w:rFonts w:ascii="inherit" w:eastAsia="Times New Roman" w:hAnsi="inherit" w:cs="Times New Roman"/>
            <w:b/>
            <w:bCs/>
            <w:i/>
            <w:iCs/>
            <w:color w:val="D49400"/>
            <w:kern w:val="0"/>
            <w:sz w:val="20"/>
            <w:szCs w:val="20"/>
            <w:lang w:eastAsia="es-UY"/>
            <w14:ligatures w14:val="none"/>
          </w:rPr>
          <w:t>José Lorenzo</w:t>
        </w:r>
      </w:hyperlink>
    </w:p>
    <w:p w14:paraId="57BC0282" w14:textId="77777777" w:rsidR="00151ACB" w:rsidRPr="00151ACB" w:rsidRDefault="00151ACB" w:rsidP="00151ACB">
      <w:pPr>
        <w:spacing w:after="465" w:line="300" w:lineRule="atLeast"/>
        <w:jc w:val="both"/>
        <w:rPr>
          <w:rFonts w:ascii="Open Sans" w:eastAsia="Times New Roman" w:hAnsi="Open Sans" w:cs="Open Sans"/>
          <w:color w:val="333333"/>
          <w:kern w:val="0"/>
          <w:sz w:val="21"/>
          <w:szCs w:val="21"/>
          <w:lang w:eastAsia="es-UY"/>
          <w14:ligatures w14:val="none"/>
        </w:rPr>
      </w:pPr>
      <w:r w:rsidRPr="00151ACB">
        <w:rPr>
          <w:rFonts w:ascii="Open Sans" w:eastAsia="Times New Roman" w:hAnsi="Open Sans" w:cs="Open Sans"/>
          <w:color w:val="333333"/>
          <w:kern w:val="0"/>
          <w:sz w:val="21"/>
          <w:szCs w:val="21"/>
          <w:lang w:eastAsia="es-UY"/>
          <w14:ligatures w14:val="none"/>
        </w:rPr>
        <w:t xml:space="preserve">El arzobispo italiano </w:t>
      </w:r>
      <w:proofErr w:type="spellStart"/>
      <w:r w:rsidRPr="00151ACB">
        <w:rPr>
          <w:rFonts w:ascii="Open Sans" w:eastAsia="Times New Roman" w:hAnsi="Open Sans" w:cs="Open Sans"/>
          <w:color w:val="333333"/>
          <w:kern w:val="0"/>
          <w:sz w:val="21"/>
          <w:szCs w:val="21"/>
          <w:lang w:eastAsia="es-UY"/>
          <w14:ligatures w14:val="none"/>
        </w:rPr>
        <w:t>Vincenzo</w:t>
      </w:r>
      <w:proofErr w:type="spellEnd"/>
      <w:r w:rsidRPr="00151ACB">
        <w:rPr>
          <w:rFonts w:ascii="Open Sans" w:eastAsia="Times New Roman" w:hAnsi="Open Sans" w:cs="Open Sans"/>
          <w:color w:val="333333"/>
          <w:kern w:val="0"/>
          <w:sz w:val="21"/>
          <w:szCs w:val="21"/>
          <w:lang w:eastAsia="es-UY"/>
          <w14:ligatures w14:val="none"/>
        </w:rPr>
        <w:t> </w:t>
      </w:r>
      <w:proofErr w:type="spellStart"/>
      <w:r w:rsidRPr="00151ACB">
        <w:rPr>
          <w:rFonts w:ascii="Open Sans" w:eastAsia="Times New Roman" w:hAnsi="Open Sans" w:cs="Open Sans"/>
          <w:b/>
          <w:bCs/>
          <w:color w:val="474747"/>
          <w:kern w:val="0"/>
          <w:sz w:val="21"/>
          <w:szCs w:val="21"/>
          <w:lang w:eastAsia="es-UY"/>
          <w14:ligatures w14:val="none"/>
        </w:rPr>
        <w:t>Paglia</w:t>
      </w:r>
      <w:proofErr w:type="spellEnd"/>
      <w:r w:rsidRPr="00151ACB">
        <w:rPr>
          <w:rFonts w:ascii="Open Sans" w:eastAsia="Times New Roman" w:hAnsi="Open Sans" w:cs="Open Sans"/>
          <w:b/>
          <w:bCs/>
          <w:color w:val="474747"/>
          <w:kern w:val="0"/>
          <w:sz w:val="21"/>
          <w:szCs w:val="21"/>
          <w:lang w:eastAsia="es-UY"/>
          <w14:ligatures w14:val="none"/>
        </w:rPr>
        <w:t xml:space="preserve"> ha sido una de las voces más libres durante el pontificado de Francisco</w:t>
      </w:r>
      <w:r w:rsidRPr="00151ACB">
        <w:rPr>
          <w:rFonts w:ascii="Open Sans" w:eastAsia="Times New Roman" w:hAnsi="Open Sans" w:cs="Open Sans"/>
          <w:color w:val="333333"/>
          <w:kern w:val="0"/>
          <w:sz w:val="21"/>
          <w:szCs w:val="21"/>
          <w:lang w:eastAsia="es-UY"/>
          <w14:ligatures w14:val="none"/>
        </w:rPr>
        <w:t xml:space="preserve">, y por eso mismo, en el punto de mira de los sectores más intransigentes de la Iglesia. Transitó, con plena anuencia del Papa jesuita, por la frontera de la teología y la bioética, en diálogo sincero y plural con otras disciplinas, desde la Academia Pontificia para la Vida, que presidió desde 2016 y hasta hace unas semanas, al cumplir los 80 </w:t>
      </w:r>
      <w:proofErr w:type="gramStart"/>
      <w:r w:rsidRPr="00151ACB">
        <w:rPr>
          <w:rFonts w:ascii="Open Sans" w:eastAsia="Times New Roman" w:hAnsi="Open Sans" w:cs="Open Sans"/>
          <w:color w:val="333333"/>
          <w:kern w:val="0"/>
          <w:sz w:val="21"/>
          <w:szCs w:val="21"/>
          <w:lang w:eastAsia="es-UY"/>
          <w14:ligatures w14:val="none"/>
        </w:rPr>
        <w:t>años de edad</w:t>
      </w:r>
      <w:proofErr w:type="gramEnd"/>
      <w:r w:rsidRPr="00151ACB">
        <w:rPr>
          <w:rFonts w:ascii="Open Sans" w:eastAsia="Times New Roman" w:hAnsi="Open Sans" w:cs="Open Sans"/>
          <w:color w:val="333333"/>
          <w:kern w:val="0"/>
          <w:sz w:val="21"/>
          <w:szCs w:val="21"/>
          <w:lang w:eastAsia="es-UY"/>
          <w14:ligatures w14:val="none"/>
        </w:rPr>
        <w:t>.</w:t>
      </w:r>
    </w:p>
    <w:p w14:paraId="62B90E2A" w14:textId="77777777" w:rsidR="00151ACB" w:rsidRPr="00151ACB" w:rsidRDefault="00151ACB" w:rsidP="00151ACB">
      <w:pPr>
        <w:spacing w:after="465" w:line="300" w:lineRule="atLeast"/>
        <w:jc w:val="both"/>
        <w:rPr>
          <w:rFonts w:ascii="Open Sans" w:eastAsia="Times New Roman" w:hAnsi="Open Sans" w:cs="Open Sans"/>
          <w:color w:val="333333"/>
          <w:kern w:val="0"/>
          <w:sz w:val="21"/>
          <w:szCs w:val="21"/>
          <w:lang w:eastAsia="es-UY"/>
          <w14:ligatures w14:val="none"/>
        </w:rPr>
      </w:pPr>
      <w:r w:rsidRPr="00151ACB">
        <w:rPr>
          <w:rFonts w:ascii="Open Sans" w:eastAsia="Times New Roman" w:hAnsi="Open Sans" w:cs="Open Sans"/>
          <w:b/>
          <w:bCs/>
          <w:color w:val="474747"/>
          <w:kern w:val="0"/>
          <w:sz w:val="21"/>
          <w:szCs w:val="21"/>
          <w:lang w:eastAsia="es-UY"/>
          <w14:ligatures w14:val="none"/>
        </w:rPr>
        <w:t xml:space="preserve">Frente al miedo al avance, </w:t>
      </w:r>
      <w:proofErr w:type="spellStart"/>
      <w:r w:rsidRPr="00151ACB">
        <w:rPr>
          <w:rFonts w:ascii="Open Sans" w:eastAsia="Times New Roman" w:hAnsi="Open Sans" w:cs="Open Sans"/>
          <w:b/>
          <w:bCs/>
          <w:color w:val="474747"/>
          <w:kern w:val="0"/>
          <w:sz w:val="21"/>
          <w:szCs w:val="21"/>
          <w:lang w:eastAsia="es-UY"/>
          <w14:ligatures w14:val="none"/>
        </w:rPr>
        <w:t>Paglia</w:t>
      </w:r>
      <w:proofErr w:type="spellEnd"/>
      <w:r w:rsidRPr="00151ACB">
        <w:rPr>
          <w:rFonts w:ascii="Open Sans" w:eastAsia="Times New Roman" w:hAnsi="Open Sans" w:cs="Open Sans"/>
          <w:b/>
          <w:bCs/>
          <w:color w:val="474747"/>
          <w:kern w:val="0"/>
          <w:sz w:val="21"/>
          <w:szCs w:val="21"/>
          <w:lang w:eastAsia="es-UY"/>
          <w14:ligatures w14:val="none"/>
        </w:rPr>
        <w:t xml:space="preserve"> regó con visiones más pluralistas y dialogantes los temas y el plantel de expertos</w:t>
      </w:r>
      <w:r w:rsidRPr="00151ACB">
        <w:rPr>
          <w:rFonts w:ascii="Open Sans" w:eastAsia="Times New Roman" w:hAnsi="Open Sans" w:cs="Open Sans"/>
          <w:color w:val="333333"/>
          <w:kern w:val="0"/>
          <w:sz w:val="21"/>
          <w:szCs w:val="21"/>
          <w:lang w:eastAsia="es-UY"/>
          <w14:ligatures w14:val="none"/>
        </w:rPr>
        <w:t> que asesoraban a la Pontificia Academia, y también al en su momento muy controvertido Instituto Teológico Pontificio Juan Pablo II, centro de referencia para los estudios sobre el matrimonio y la familia, durante un tiempo reducto de los sectores más inmovilistas. “El papa Francisco nos dijo que no se puede hacer teología con un «no» en la mente. Los teólogos deben trabajar, reflexionar y dialogar para contribuir al desarrollo del Magisterio”, señala en entrevista en </w:t>
      </w:r>
      <w:proofErr w:type="spellStart"/>
      <w:r w:rsidRPr="00151ACB">
        <w:rPr>
          <w:rFonts w:ascii="Open Sans" w:eastAsia="Times New Roman" w:hAnsi="Open Sans" w:cs="Open Sans"/>
          <w:color w:val="333333"/>
          <w:kern w:val="0"/>
          <w:sz w:val="21"/>
          <w:szCs w:val="21"/>
          <w:lang w:eastAsia="es-UY"/>
          <w14:ligatures w14:val="none"/>
        </w:rPr>
        <w:fldChar w:fldCharType="begin"/>
      </w:r>
      <w:r w:rsidRPr="00151ACB">
        <w:rPr>
          <w:rFonts w:ascii="Open Sans" w:eastAsia="Times New Roman" w:hAnsi="Open Sans" w:cs="Open Sans"/>
          <w:color w:val="333333"/>
          <w:kern w:val="0"/>
          <w:sz w:val="21"/>
          <w:szCs w:val="21"/>
          <w:lang w:eastAsia="es-UY"/>
          <w14:ligatures w14:val="none"/>
        </w:rPr>
        <w:instrText>HYPERLINK "https://www.katholisch.de/artikel/62085-kurienerzbischof-papst-leo-wird-franziskus-vision-weiterfuehren"</w:instrText>
      </w:r>
      <w:r w:rsidRPr="00151ACB">
        <w:rPr>
          <w:rFonts w:ascii="Open Sans" w:eastAsia="Times New Roman" w:hAnsi="Open Sans" w:cs="Open Sans"/>
          <w:color w:val="333333"/>
          <w:kern w:val="0"/>
          <w:sz w:val="21"/>
          <w:szCs w:val="21"/>
          <w:lang w:eastAsia="es-UY"/>
          <w14:ligatures w14:val="none"/>
        </w:rPr>
      </w:r>
      <w:r w:rsidRPr="00151ACB">
        <w:rPr>
          <w:rFonts w:ascii="Open Sans" w:eastAsia="Times New Roman" w:hAnsi="Open Sans" w:cs="Open Sans"/>
          <w:color w:val="333333"/>
          <w:kern w:val="0"/>
          <w:sz w:val="21"/>
          <w:szCs w:val="21"/>
          <w:lang w:eastAsia="es-UY"/>
          <w14:ligatures w14:val="none"/>
        </w:rPr>
        <w:fldChar w:fldCharType="separate"/>
      </w:r>
      <w:r w:rsidRPr="00151ACB">
        <w:rPr>
          <w:rFonts w:ascii="Open Sans" w:eastAsia="Times New Roman" w:hAnsi="Open Sans" w:cs="Open Sans"/>
          <w:i/>
          <w:iCs/>
          <w:color w:val="474747"/>
          <w:kern w:val="0"/>
          <w:sz w:val="21"/>
          <w:szCs w:val="21"/>
          <w:lang w:eastAsia="es-UY"/>
          <w14:ligatures w14:val="none"/>
        </w:rPr>
        <w:t>Katholisch</w:t>
      </w:r>
      <w:proofErr w:type="spellEnd"/>
      <w:r w:rsidRPr="00151ACB">
        <w:rPr>
          <w:rFonts w:ascii="Open Sans" w:eastAsia="Times New Roman" w:hAnsi="Open Sans" w:cs="Open Sans"/>
          <w:color w:val="333333"/>
          <w:kern w:val="0"/>
          <w:sz w:val="21"/>
          <w:szCs w:val="21"/>
          <w:lang w:eastAsia="es-UY"/>
          <w14:ligatures w14:val="none"/>
        </w:rPr>
        <w:fldChar w:fldCharType="end"/>
      </w:r>
      <w:r w:rsidRPr="00151ACB">
        <w:rPr>
          <w:rFonts w:ascii="Open Sans" w:eastAsia="Times New Roman" w:hAnsi="Open Sans" w:cs="Open Sans"/>
          <w:color w:val="333333"/>
          <w:kern w:val="0"/>
          <w:sz w:val="21"/>
          <w:szCs w:val="21"/>
          <w:lang w:eastAsia="es-UY"/>
          <w14:ligatures w14:val="none"/>
        </w:rPr>
        <w:t>.</w:t>
      </w:r>
    </w:p>
    <w:p w14:paraId="66FF0C92" w14:textId="77777777" w:rsidR="00151ACB" w:rsidRPr="00151ACB" w:rsidRDefault="00151ACB" w:rsidP="00151ACB">
      <w:pPr>
        <w:spacing w:after="465" w:line="300" w:lineRule="atLeast"/>
        <w:jc w:val="both"/>
        <w:rPr>
          <w:rFonts w:ascii="Open Sans" w:eastAsia="Times New Roman" w:hAnsi="Open Sans" w:cs="Open Sans"/>
          <w:color w:val="333333"/>
          <w:kern w:val="0"/>
          <w:sz w:val="21"/>
          <w:szCs w:val="21"/>
          <w:lang w:eastAsia="es-UY"/>
          <w14:ligatures w14:val="none"/>
        </w:rPr>
      </w:pPr>
      <w:r w:rsidRPr="00151ACB">
        <w:rPr>
          <w:rFonts w:ascii="Open Sans" w:eastAsia="Times New Roman" w:hAnsi="Open Sans" w:cs="Open Sans"/>
          <w:color w:val="333333"/>
          <w:kern w:val="0"/>
          <w:sz w:val="21"/>
          <w:szCs w:val="21"/>
          <w:lang w:eastAsia="es-UY"/>
          <w14:ligatures w14:val="none"/>
        </w:rPr>
        <w:t>En este sentido, apuesta –en línea con lo que hizo durante su mandato– por ampliar la visión a la hora de los análisis sobre la vida, teniendo en cuenta que </w:t>
      </w:r>
      <w:r w:rsidRPr="00151ACB">
        <w:rPr>
          <w:rFonts w:ascii="Open Sans" w:eastAsia="Times New Roman" w:hAnsi="Open Sans" w:cs="Open Sans"/>
          <w:b/>
          <w:bCs/>
          <w:color w:val="474747"/>
          <w:kern w:val="0"/>
          <w:sz w:val="21"/>
          <w:szCs w:val="21"/>
          <w:lang w:eastAsia="es-UY"/>
          <w14:ligatures w14:val="none"/>
        </w:rPr>
        <w:t>la cuestión “provida” ha sido circunscrita al tema del aborto</w:t>
      </w:r>
      <w:r w:rsidRPr="00151ACB">
        <w:rPr>
          <w:rFonts w:ascii="Open Sans" w:eastAsia="Times New Roman" w:hAnsi="Open Sans" w:cs="Open Sans"/>
          <w:color w:val="333333"/>
          <w:kern w:val="0"/>
          <w:sz w:val="21"/>
          <w:szCs w:val="21"/>
          <w:lang w:eastAsia="es-UY"/>
          <w14:ligatures w14:val="none"/>
        </w:rPr>
        <w:t>.</w:t>
      </w:r>
    </w:p>
    <w:p w14:paraId="61923A05" w14:textId="77777777" w:rsidR="00151ACB" w:rsidRPr="00151ACB" w:rsidRDefault="00151ACB" w:rsidP="00151ACB">
      <w:pPr>
        <w:spacing w:after="465" w:line="300" w:lineRule="atLeast"/>
        <w:jc w:val="both"/>
        <w:rPr>
          <w:rFonts w:ascii="Open Sans" w:eastAsia="Times New Roman" w:hAnsi="Open Sans" w:cs="Open Sans"/>
          <w:color w:val="333333"/>
          <w:kern w:val="0"/>
          <w:sz w:val="21"/>
          <w:szCs w:val="21"/>
          <w:lang w:eastAsia="es-UY"/>
          <w14:ligatures w14:val="none"/>
        </w:rPr>
      </w:pPr>
      <w:r w:rsidRPr="00151ACB">
        <w:rPr>
          <w:rFonts w:ascii="Open Sans" w:eastAsia="Times New Roman" w:hAnsi="Open Sans" w:cs="Open Sans"/>
          <w:color w:val="333333"/>
          <w:kern w:val="0"/>
          <w:sz w:val="21"/>
          <w:szCs w:val="21"/>
          <w:lang w:eastAsia="es-UY"/>
          <w14:ligatures w14:val="none"/>
        </w:rPr>
        <w:t xml:space="preserve">“La bioética global es la perspectiva que tenemos hoy –señala el arzobispo italiano vinculado a la Comunidad de </w:t>
      </w:r>
      <w:proofErr w:type="spellStart"/>
      <w:r w:rsidRPr="00151ACB">
        <w:rPr>
          <w:rFonts w:ascii="Open Sans" w:eastAsia="Times New Roman" w:hAnsi="Open Sans" w:cs="Open Sans"/>
          <w:color w:val="333333"/>
          <w:kern w:val="0"/>
          <w:sz w:val="21"/>
          <w:szCs w:val="21"/>
          <w:lang w:eastAsia="es-UY"/>
          <w14:ligatures w14:val="none"/>
        </w:rPr>
        <w:t>Sant’Egidio</w:t>
      </w:r>
      <w:proofErr w:type="spellEnd"/>
      <w:r w:rsidRPr="00151ACB">
        <w:rPr>
          <w:rFonts w:ascii="Open Sans" w:eastAsia="Times New Roman" w:hAnsi="Open Sans" w:cs="Open Sans"/>
          <w:color w:val="333333"/>
          <w:kern w:val="0"/>
          <w:sz w:val="21"/>
          <w:szCs w:val="21"/>
          <w:lang w:eastAsia="es-UY"/>
          <w14:ligatures w14:val="none"/>
        </w:rPr>
        <w:t>–. </w:t>
      </w:r>
      <w:r w:rsidRPr="00151ACB">
        <w:rPr>
          <w:rFonts w:ascii="Open Sans" w:eastAsia="Times New Roman" w:hAnsi="Open Sans" w:cs="Open Sans"/>
          <w:b/>
          <w:bCs/>
          <w:color w:val="474747"/>
          <w:kern w:val="0"/>
          <w:sz w:val="21"/>
          <w:szCs w:val="21"/>
          <w:lang w:eastAsia="es-UY"/>
          <w14:ligatures w14:val="none"/>
        </w:rPr>
        <w:t>Ya no es el momento de una moral casuística que prescriba comportamientos concretos</w:t>
      </w:r>
      <w:r w:rsidRPr="00151ACB">
        <w:rPr>
          <w:rFonts w:ascii="Open Sans" w:eastAsia="Times New Roman" w:hAnsi="Open Sans" w:cs="Open Sans"/>
          <w:color w:val="333333"/>
          <w:kern w:val="0"/>
          <w:sz w:val="21"/>
          <w:szCs w:val="21"/>
          <w:lang w:eastAsia="es-UY"/>
          <w14:ligatures w14:val="none"/>
        </w:rPr>
        <w:t>. Es el momento de reflexionar sobre los desafíos globales: solo tenemos un planeta para vivir y debemos preservarlo para legar a las generaciones futuras. Solo tenemos una vida en este mundo y debemos permitir que todos los seres humanos vivan esa vida cada vez mejor y prosperen en un contexto de justicia y desarrollo humano. Repito: se trata de una bioética global en el espíritu de </w:t>
      </w:r>
      <w:proofErr w:type="spellStart"/>
      <w:r w:rsidRPr="00151ACB">
        <w:rPr>
          <w:rFonts w:ascii="Open Sans" w:eastAsia="Times New Roman" w:hAnsi="Open Sans" w:cs="Open Sans"/>
          <w:i/>
          <w:iCs/>
          <w:color w:val="474747"/>
          <w:kern w:val="0"/>
          <w:sz w:val="21"/>
          <w:szCs w:val="21"/>
          <w:lang w:eastAsia="es-UY"/>
          <w14:ligatures w14:val="none"/>
        </w:rPr>
        <w:t>Laudato</w:t>
      </w:r>
      <w:proofErr w:type="spellEnd"/>
      <w:r w:rsidRPr="00151ACB">
        <w:rPr>
          <w:rFonts w:ascii="Open Sans" w:eastAsia="Times New Roman" w:hAnsi="Open Sans" w:cs="Open Sans"/>
          <w:i/>
          <w:iCs/>
          <w:color w:val="474747"/>
          <w:kern w:val="0"/>
          <w:sz w:val="21"/>
          <w:szCs w:val="21"/>
          <w:lang w:eastAsia="es-UY"/>
          <w14:ligatures w14:val="none"/>
        </w:rPr>
        <w:t xml:space="preserve"> si'</w:t>
      </w:r>
      <w:r w:rsidRPr="00151ACB">
        <w:rPr>
          <w:rFonts w:ascii="Open Sans" w:eastAsia="Times New Roman" w:hAnsi="Open Sans" w:cs="Open Sans"/>
          <w:color w:val="333333"/>
          <w:kern w:val="0"/>
          <w:sz w:val="21"/>
          <w:szCs w:val="21"/>
          <w:lang w:eastAsia="es-UY"/>
          <w14:ligatures w14:val="none"/>
        </w:rPr>
        <w:t> y </w:t>
      </w:r>
      <w:r w:rsidRPr="00151ACB">
        <w:rPr>
          <w:rFonts w:ascii="Open Sans" w:eastAsia="Times New Roman" w:hAnsi="Open Sans" w:cs="Open Sans"/>
          <w:i/>
          <w:iCs/>
          <w:color w:val="474747"/>
          <w:kern w:val="0"/>
          <w:sz w:val="21"/>
          <w:szCs w:val="21"/>
          <w:lang w:eastAsia="es-UY"/>
          <w14:ligatures w14:val="none"/>
        </w:rPr>
        <w:t xml:space="preserve">Fratelli </w:t>
      </w:r>
      <w:proofErr w:type="spellStart"/>
      <w:r w:rsidRPr="00151ACB">
        <w:rPr>
          <w:rFonts w:ascii="Open Sans" w:eastAsia="Times New Roman" w:hAnsi="Open Sans" w:cs="Open Sans"/>
          <w:i/>
          <w:iCs/>
          <w:color w:val="474747"/>
          <w:kern w:val="0"/>
          <w:sz w:val="21"/>
          <w:szCs w:val="21"/>
          <w:lang w:eastAsia="es-UY"/>
          <w14:ligatures w14:val="none"/>
        </w:rPr>
        <w:t>tutti</w:t>
      </w:r>
      <w:proofErr w:type="spellEnd"/>
      <w:r w:rsidRPr="00151ACB">
        <w:rPr>
          <w:rFonts w:ascii="Open Sans" w:eastAsia="Times New Roman" w:hAnsi="Open Sans" w:cs="Open Sans"/>
          <w:color w:val="333333"/>
          <w:kern w:val="0"/>
          <w:sz w:val="21"/>
          <w:szCs w:val="21"/>
          <w:lang w:eastAsia="es-UY"/>
          <w14:ligatures w14:val="none"/>
        </w:rPr>
        <w:t>. Dos documentos que marcan el camino para toda la humanidad, no solo para nosotros, los católicos”.</w:t>
      </w:r>
    </w:p>
    <w:p w14:paraId="41C8AAC2" w14:textId="77777777" w:rsidR="00151ACB" w:rsidRPr="00151ACB" w:rsidRDefault="00151ACB" w:rsidP="00151ACB">
      <w:pPr>
        <w:spacing w:after="465" w:line="300" w:lineRule="atLeast"/>
        <w:jc w:val="both"/>
        <w:rPr>
          <w:rFonts w:ascii="Open Sans" w:eastAsia="Times New Roman" w:hAnsi="Open Sans" w:cs="Open Sans"/>
          <w:color w:val="333333"/>
          <w:kern w:val="0"/>
          <w:sz w:val="21"/>
          <w:szCs w:val="21"/>
          <w:lang w:eastAsia="es-UY"/>
          <w14:ligatures w14:val="none"/>
        </w:rPr>
      </w:pPr>
      <w:r w:rsidRPr="00151ACB">
        <w:rPr>
          <w:rFonts w:ascii="Open Sans" w:eastAsia="Times New Roman" w:hAnsi="Open Sans" w:cs="Open Sans"/>
          <w:color w:val="333333"/>
          <w:kern w:val="0"/>
          <w:sz w:val="21"/>
          <w:szCs w:val="21"/>
          <w:lang w:eastAsia="es-UY"/>
          <w14:ligatures w14:val="none"/>
        </w:rPr>
        <w:t>“Nos enfrentamos a guerras, pandemias, desigualdades en los sistemas de seguridad social, y el hambre está lejos de ser superada. Estos son desafíos extraordinarios y terribles, vinculados a la necesidad de dirigirnos a las mujeres y los hombres de nuestro tiempo para responder a la urgente pregunta por el sentido de la vida. Y </w:t>
      </w:r>
      <w:r w:rsidRPr="00151ACB">
        <w:rPr>
          <w:rFonts w:ascii="Open Sans" w:eastAsia="Times New Roman" w:hAnsi="Open Sans" w:cs="Open Sans"/>
          <w:b/>
          <w:bCs/>
          <w:color w:val="474747"/>
          <w:kern w:val="0"/>
          <w:sz w:val="21"/>
          <w:szCs w:val="21"/>
          <w:lang w:eastAsia="es-UY"/>
          <w14:ligatures w14:val="none"/>
        </w:rPr>
        <w:t>es absolutamente necesario que nos dirijamos a todos</w:t>
      </w:r>
      <w:r w:rsidRPr="00151ACB">
        <w:rPr>
          <w:rFonts w:ascii="Open Sans" w:eastAsia="Times New Roman" w:hAnsi="Open Sans" w:cs="Open Sans"/>
          <w:color w:val="333333"/>
          <w:kern w:val="0"/>
          <w:sz w:val="21"/>
          <w:szCs w:val="21"/>
          <w:lang w:eastAsia="es-UY"/>
          <w14:ligatures w14:val="none"/>
        </w:rPr>
        <w:t xml:space="preserve"> y, sobre todo, que las ciencias naturales y las humanidades dialoguen entre sí”, apostilla </w:t>
      </w:r>
      <w:proofErr w:type="spellStart"/>
      <w:r w:rsidRPr="00151ACB">
        <w:rPr>
          <w:rFonts w:ascii="Open Sans" w:eastAsia="Times New Roman" w:hAnsi="Open Sans" w:cs="Open Sans"/>
          <w:color w:val="333333"/>
          <w:kern w:val="0"/>
          <w:sz w:val="21"/>
          <w:szCs w:val="21"/>
          <w:lang w:eastAsia="es-UY"/>
          <w14:ligatures w14:val="none"/>
        </w:rPr>
        <w:t>Paglia</w:t>
      </w:r>
      <w:proofErr w:type="spellEnd"/>
      <w:r w:rsidRPr="00151ACB">
        <w:rPr>
          <w:rFonts w:ascii="Open Sans" w:eastAsia="Times New Roman" w:hAnsi="Open Sans" w:cs="Open Sans"/>
          <w:color w:val="333333"/>
          <w:kern w:val="0"/>
          <w:sz w:val="21"/>
          <w:szCs w:val="21"/>
          <w:lang w:eastAsia="es-UY"/>
          <w14:ligatures w14:val="none"/>
        </w:rPr>
        <w:t>.</w:t>
      </w:r>
    </w:p>
    <w:p w14:paraId="4A4B9F41" w14:textId="77777777" w:rsidR="00151ACB" w:rsidRPr="00151ACB" w:rsidRDefault="00151ACB" w:rsidP="00151ACB">
      <w:pPr>
        <w:spacing w:after="150" w:line="345" w:lineRule="atLeast"/>
        <w:jc w:val="both"/>
        <w:outlineLvl w:val="1"/>
        <w:rPr>
          <w:rFonts w:ascii="Montserrat" w:eastAsia="Times New Roman" w:hAnsi="Montserrat" w:cs="Times New Roman"/>
          <w:b/>
          <w:bCs/>
          <w:color w:val="474747"/>
          <w:kern w:val="0"/>
          <w:sz w:val="26"/>
          <w:szCs w:val="26"/>
          <w:lang w:eastAsia="es-UY"/>
          <w14:ligatures w14:val="none"/>
        </w:rPr>
      </w:pPr>
      <w:r w:rsidRPr="00151ACB">
        <w:rPr>
          <w:rFonts w:ascii="Montserrat" w:eastAsia="Times New Roman" w:hAnsi="Montserrat" w:cs="Times New Roman"/>
          <w:b/>
          <w:bCs/>
          <w:color w:val="474747"/>
          <w:kern w:val="0"/>
          <w:sz w:val="26"/>
          <w:szCs w:val="26"/>
          <w:lang w:eastAsia="es-UY"/>
          <w14:ligatures w14:val="none"/>
        </w:rPr>
        <w:t>Fieles al espíritu de Juan Pablo II</w:t>
      </w:r>
    </w:p>
    <w:p w14:paraId="52296517" w14:textId="77777777" w:rsidR="00151ACB" w:rsidRPr="00151ACB" w:rsidRDefault="00151ACB" w:rsidP="00151ACB">
      <w:pPr>
        <w:spacing w:after="465" w:line="300" w:lineRule="atLeast"/>
        <w:jc w:val="both"/>
        <w:rPr>
          <w:rFonts w:ascii="Open Sans" w:eastAsia="Times New Roman" w:hAnsi="Open Sans" w:cs="Open Sans"/>
          <w:color w:val="333333"/>
          <w:kern w:val="0"/>
          <w:sz w:val="21"/>
          <w:szCs w:val="21"/>
          <w:lang w:eastAsia="es-UY"/>
          <w14:ligatures w14:val="none"/>
        </w:rPr>
      </w:pPr>
      <w:r w:rsidRPr="00151ACB">
        <w:rPr>
          <w:rFonts w:ascii="Open Sans" w:eastAsia="Times New Roman" w:hAnsi="Open Sans" w:cs="Open Sans"/>
          <w:color w:val="333333"/>
          <w:kern w:val="0"/>
          <w:sz w:val="21"/>
          <w:szCs w:val="21"/>
          <w:lang w:eastAsia="es-UY"/>
          <w14:ligatures w14:val="none"/>
        </w:rPr>
        <w:t>Y, acto seguido, añade: “Quizás podríamos haber hecho más para aclarar y explicar que la expansión de las áreas temáticas, como lo expresó el papa Francisco, </w:t>
      </w:r>
      <w:r w:rsidRPr="00151ACB">
        <w:rPr>
          <w:rFonts w:ascii="Open Sans" w:eastAsia="Times New Roman" w:hAnsi="Open Sans" w:cs="Open Sans"/>
          <w:b/>
          <w:bCs/>
          <w:color w:val="474747"/>
          <w:kern w:val="0"/>
          <w:sz w:val="21"/>
          <w:szCs w:val="21"/>
          <w:lang w:eastAsia="es-UY"/>
          <w14:ligatures w14:val="none"/>
        </w:rPr>
        <w:t>nunca significó una desviación de la misión original de la Academia, establecida por Juan Pablo II”</w:t>
      </w:r>
      <w:r w:rsidRPr="00151ACB">
        <w:rPr>
          <w:rFonts w:ascii="Open Sans" w:eastAsia="Times New Roman" w:hAnsi="Open Sans" w:cs="Open Sans"/>
          <w:color w:val="333333"/>
          <w:kern w:val="0"/>
          <w:sz w:val="21"/>
          <w:szCs w:val="21"/>
          <w:lang w:eastAsia="es-UY"/>
          <w14:ligatures w14:val="none"/>
        </w:rPr>
        <w:t xml:space="preserve">, </w:t>
      </w:r>
      <w:r w:rsidRPr="00151ACB">
        <w:rPr>
          <w:rFonts w:ascii="Open Sans" w:eastAsia="Times New Roman" w:hAnsi="Open Sans" w:cs="Open Sans"/>
          <w:color w:val="333333"/>
          <w:kern w:val="0"/>
          <w:sz w:val="21"/>
          <w:szCs w:val="21"/>
          <w:lang w:eastAsia="es-UY"/>
          <w14:ligatures w14:val="none"/>
        </w:rPr>
        <w:lastRenderedPageBreak/>
        <w:t>consciente de que en muchas ocasiones los debates, estudios y publicaciones de la Academia Pontificia para la Vida han estado en el ojo del huracán.</w:t>
      </w:r>
    </w:p>
    <w:p w14:paraId="19181373" w14:textId="77777777" w:rsidR="00151ACB" w:rsidRPr="00151ACB" w:rsidRDefault="00151ACB" w:rsidP="00151ACB">
      <w:pPr>
        <w:spacing w:after="465" w:line="300" w:lineRule="atLeast"/>
        <w:jc w:val="both"/>
        <w:rPr>
          <w:rFonts w:ascii="Open Sans" w:eastAsia="Times New Roman" w:hAnsi="Open Sans" w:cs="Open Sans"/>
          <w:color w:val="333333"/>
          <w:kern w:val="0"/>
          <w:sz w:val="21"/>
          <w:szCs w:val="21"/>
          <w:lang w:eastAsia="es-UY"/>
          <w14:ligatures w14:val="none"/>
        </w:rPr>
      </w:pPr>
      <w:r w:rsidRPr="00151ACB">
        <w:rPr>
          <w:rFonts w:ascii="Open Sans" w:eastAsia="Times New Roman" w:hAnsi="Open Sans" w:cs="Open Sans"/>
          <w:color w:val="333333"/>
          <w:kern w:val="0"/>
          <w:sz w:val="21"/>
          <w:szCs w:val="21"/>
          <w:lang w:eastAsia="es-UY"/>
          <w14:ligatures w14:val="none"/>
        </w:rPr>
        <w:t xml:space="preserve">“Hay una parte del mundo católico que quizás teme avanzar –expresa </w:t>
      </w:r>
      <w:proofErr w:type="spellStart"/>
      <w:r w:rsidRPr="00151ACB">
        <w:rPr>
          <w:rFonts w:ascii="Open Sans" w:eastAsia="Times New Roman" w:hAnsi="Open Sans" w:cs="Open Sans"/>
          <w:color w:val="333333"/>
          <w:kern w:val="0"/>
          <w:sz w:val="21"/>
          <w:szCs w:val="21"/>
          <w:lang w:eastAsia="es-UY"/>
          <w14:ligatures w14:val="none"/>
        </w:rPr>
        <w:t>Paglia</w:t>
      </w:r>
      <w:proofErr w:type="spellEnd"/>
      <w:r w:rsidRPr="00151ACB">
        <w:rPr>
          <w:rFonts w:ascii="Open Sans" w:eastAsia="Times New Roman" w:hAnsi="Open Sans" w:cs="Open Sans"/>
          <w:color w:val="333333"/>
          <w:kern w:val="0"/>
          <w:sz w:val="21"/>
          <w:szCs w:val="21"/>
          <w:lang w:eastAsia="es-UY"/>
          <w14:ligatures w14:val="none"/>
        </w:rPr>
        <w:t>, siempre consciente de las cítricas, pero firme en su empeño–. Pero en teología, y especialmente en teología moral, debe haber una investigación constante. </w:t>
      </w:r>
      <w:r w:rsidRPr="00151ACB">
        <w:rPr>
          <w:rFonts w:ascii="Open Sans" w:eastAsia="Times New Roman" w:hAnsi="Open Sans" w:cs="Open Sans"/>
          <w:b/>
          <w:bCs/>
          <w:color w:val="474747"/>
          <w:kern w:val="0"/>
          <w:sz w:val="21"/>
          <w:szCs w:val="21"/>
          <w:lang w:eastAsia="es-UY"/>
          <w14:ligatures w14:val="none"/>
        </w:rPr>
        <w:t>El Evangelio sigue siendo el mismo, pero los tiempos cambian</w:t>
      </w:r>
      <w:r w:rsidRPr="00151ACB">
        <w:rPr>
          <w:rFonts w:ascii="Open Sans" w:eastAsia="Times New Roman" w:hAnsi="Open Sans" w:cs="Open Sans"/>
          <w:color w:val="333333"/>
          <w:kern w:val="0"/>
          <w:sz w:val="21"/>
          <w:szCs w:val="21"/>
          <w:lang w:eastAsia="es-UY"/>
          <w14:ligatures w14:val="none"/>
        </w:rPr>
        <w:t>, y debemos buscar en ellos respuestas a las preguntas actuales. Por ejemplo: ¿Qué dice la teología ante las guerras, los conflictos, la disminución de la natalidad, las injusticias y las desigualdades? ¿Son estas cosas una voluntad de Dios, como creen algunos movimientos protestantes? ¿O son el resultado de nuestra miopía y avaricia? ¿Y qué nos dice el Evangelio al respecto? Pienso en el Buen Samaritano y en lo que debemos hacer con los migrantes”, señala en la entrevista con el portal </w:t>
      </w:r>
      <w:proofErr w:type="spellStart"/>
      <w:r w:rsidRPr="00151ACB">
        <w:rPr>
          <w:rFonts w:ascii="Open Sans" w:eastAsia="Times New Roman" w:hAnsi="Open Sans" w:cs="Open Sans"/>
          <w:i/>
          <w:iCs/>
          <w:color w:val="474747"/>
          <w:kern w:val="0"/>
          <w:sz w:val="21"/>
          <w:szCs w:val="21"/>
          <w:lang w:eastAsia="es-UY"/>
          <w14:ligatures w14:val="none"/>
        </w:rPr>
        <w:t>Katholisch</w:t>
      </w:r>
      <w:proofErr w:type="spellEnd"/>
      <w:r w:rsidRPr="00151ACB">
        <w:rPr>
          <w:rFonts w:ascii="Open Sans" w:eastAsia="Times New Roman" w:hAnsi="Open Sans" w:cs="Open Sans"/>
          <w:color w:val="333333"/>
          <w:kern w:val="0"/>
          <w:sz w:val="21"/>
          <w:szCs w:val="21"/>
          <w:lang w:eastAsia="es-UY"/>
          <w14:ligatures w14:val="none"/>
        </w:rPr>
        <w:t>.</w:t>
      </w:r>
    </w:p>
    <w:p w14:paraId="4BAEF26D" w14:textId="77777777" w:rsidR="00151ACB" w:rsidRPr="00151ACB" w:rsidRDefault="00151ACB" w:rsidP="00151ACB">
      <w:pPr>
        <w:spacing w:after="465" w:line="300" w:lineRule="atLeast"/>
        <w:jc w:val="both"/>
        <w:rPr>
          <w:rFonts w:ascii="Open Sans" w:eastAsia="Times New Roman" w:hAnsi="Open Sans" w:cs="Open Sans"/>
          <w:color w:val="333333"/>
          <w:kern w:val="0"/>
          <w:sz w:val="21"/>
          <w:szCs w:val="21"/>
          <w:lang w:eastAsia="es-UY"/>
          <w14:ligatures w14:val="none"/>
        </w:rPr>
      </w:pPr>
      <w:r w:rsidRPr="00151ACB">
        <w:rPr>
          <w:rFonts w:ascii="Open Sans" w:eastAsia="Times New Roman" w:hAnsi="Open Sans" w:cs="Open Sans"/>
          <w:color w:val="333333"/>
          <w:kern w:val="0"/>
          <w:sz w:val="21"/>
          <w:szCs w:val="21"/>
          <w:lang w:eastAsia="es-UY"/>
          <w14:ligatures w14:val="none"/>
        </w:rPr>
        <w:t>Se pronuncia también con respecto al pontificado de quien fue su mentor y los primeros pasos de León XIV: </w:t>
      </w:r>
      <w:r w:rsidRPr="00151ACB">
        <w:rPr>
          <w:rFonts w:ascii="Open Sans" w:eastAsia="Times New Roman" w:hAnsi="Open Sans" w:cs="Open Sans"/>
          <w:b/>
          <w:bCs/>
          <w:color w:val="474747"/>
          <w:kern w:val="0"/>
          <w:sz w:val="21"/>
          <w:szCs w:val="21"/>
          <w:lang w:eastAsia="es-UY"/>
          <w14:ligatures w14:val="none"/>
        </w:rPr>
        <w:t>“La pérdida del papa Francisco me conmovió profundamente</w:t>
      </w:r>
      <w:r w:rsidRPr="00151ACB">
        <w:rPr>
          <w:rFonts w:ascii="Open Sans" w:eastAsia="Times New Roman" w:hAnsi="Open Sans" w:cs="Open Sans"/>
          <w:color w:val="333333"/>
          <w:kern w:val="0"/>
          <w:sz w:val="21"/>
          <w:szCs w:val="21"/>
          <w:lang w:eastAsia="es-UY"/>
          <w14:ligatures w14:val="none"/>
        </w:rPr>
        <w:t>, no solo por la relación profesional que me brindó, sino también por la personal. Sabía que podía pedirle consejo sobre cualquier tema. Y recibí su apoyo en cada etapa de mi trabajo como Presidente de la Academia Pontificia para la Vida y como Gran Canciller del Instituto Teológico Pontificio Juan Pablo II. Sin embargo, estoy convencido de que  el papa León XIV continuará la visión de Francisco. Existe una gran continuidad entre los pontificados”.</w:t>
      </w:r>
    </w:p>
    <w:p w14:paraId="66E720F2" w14:textId="405FAEA7" w:rsidR="00926044" w:rsidRDefault="00151ACB" w:rsidP="00151ACB">
      <w:pPr>
        <w:rPr>
          <w:rFonts w:ascii="Arial" w:eastAsia="Times New Roman" w:hAnsi="Arial" w:cs="Arial"/>
          <w:color w:val="000000"/>
          <w:kern w:val="0"/>
          <w:sz w:val="21"/>
          <w:szCs w:val="21"/>
          <w:lang w:eastAsia="es-UY"/>
          <w14:ligatures w14:val="none"/>
        </w:rPr>
      </w:pPr>
      <w:hyperlink r:id="rId7" w:history="1">
        <w:r w:rsidRPr="00151ACB">
          <w:rPr>
            <w:rFonts w:ascii="Arial" w:eastAsia="Times New Roman" w:hAnsi="Arial" w:cs="Arial"/>
            <w:color w:val="0000FF"/>
            <w:kern w:val="0"/>
            <w:sz w:val="21"/>
            <w:szCs w:val="21"/>
            <w:lang w:eastAsia="es-UY"/>
            <w14:ligatures w14:val="none"/>
          </w:rPr>
          <w:br/>
        </w:r>
      </w:hyperlink>
      <w:hyperlink r:id="rId8" w:history="1">
        <w:r w:rsidRPr="00114A48">
          <w:rPr>
            <w:rStyle w:val="Hipervnculo"/>
            <w:rFonts w:ascii="Arial" w:eastAsia="Times New Roman" w:hAnsi="Arial" w:cs="Arial"/>
            <w:kern w:val="0"/>
            <w:sz w:val="21"/>
            <w:szCs w:val="21"/>
            <w:lang w:eastAsia="es-UY"/>
            <w14:ligatures w14:val="none"/>
          </w:rPr>
          <w:t>https://www.religiondigital.org/teologia_para_una_iglesia_en_salida/Paglia-Leon-XIV-Francisco-Existe-pontificado-continuidad_0_2785221461.html</w:t>
        </w:r>
      </w:hyperlink>
    </w:p>
    <w:p w14:paraId="48F0E1C7" w14:textId="77777777" w:rsidR="00151ACB" w:rsidRDefault="00151ACB" w:rsidP="00151ACB"/>
    <w:sectPr w:rsidR="00151A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5CA0"/>
    <w:multiLevelType w:val="multilevel"/>
    <w:tmpl w:val="778E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545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CB"/>
    <w:rsid w:val="00151ACB"/>
    <w:rsid w:val="00926044"/>
    <w:rsid w:val="00B067A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D4FDF"/>
  <w15:chartTrackingRefBased/>
  <w15:docId w15:val="{CF89811E-E181-44BB-8C7D-2F0C24349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1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1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1AC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1AC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1AC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1AC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1AC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1AC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1AC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1AC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1AC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1AC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1AC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1AC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1AC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1AC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1AC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1ACB"/>
    <w:rPr>
      <w:rFonts w:eastAsiaTheme="majorEastAsia" w:cstheme="majorBidi"/>
      <w:color w:val="272727" w:themeColor="text1" w:themeTint="D8"/>
    </w:rPr>
  </w:style>
  <w:style w:type="paragraph" w:styleId="Ttulo">
    <w:name w:val="Title"/>
    <w:basedOn w:val="Normal"/>
    <w:next w:val="Normal"/>
    <w:link w:val="TtuloCar"/>
    <w:uiPriority w:val="10"/>
    <w:qFormat/>
    <w:rsid w:val="00151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1AC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1AC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1AC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1ACB"/>
    <w:pPr>
      <w:spacing w:before="160"/>
      <w:jc w:val="center"/>
    </w:pPr>
    <w:rPr>
      <w:i/>
      <w:iCs/>
      <w:color w:val="404040" w:themeColor="text1" w:themeTint="BF"/>
    </w:rPr>
  </w:style>
  <w:style w:type="character" w:customStyle="1" w:styleId="CitaCar">
    <w:name w:val="Cita Car"/>
    <w:basedOn w:val="Fuentedeprrafopredeter"/>
    <w:link w:val="Cita"/>
    <w:uiPriority w:val="29"/>
    <w:rsid w:val="00151ACB"/>
    <w:rPr>
      <w:i/>
      <w:iCs/>
      <w:color w:val="404040" w:themeColor="text1" w:themeTint="BF"/>
    </w:rPr>
  </w:style>
  <w:style w:type="paragraph" w:styleId="Prrafodelista">
    <w:name w:val="List Paragraph"/>
    <w:basedOn w:val="Normal"/>
    <w:uiPriority w:val="34"/>
    <w:qFormat/>
    <w:rsid w:val="00151ACB"/>
    <w:pPr>
      <w:ind w:left="720"/>
      <w:contextualSpacing/>
    </w:pPr>
  </w:style>
  <w:style w:type="character" w:styleId="nfasisintenso">
    <w:name w:val="Intense Emphasis"/>
    <w:basedOn w:val="Fuentedeprrafopredeter"/>
    <w:uiPriority w:val="21"/>
    <w:qFormat/>
    <w:rsid w:val="00151ACB"/>
    <w:rPr>
      <w:i/>
      <w:iCs/>
      <w:color w:val="0F4761" w:themeColor="accent1" w:themeShade="BF"/>
    </w:rPr>
  </w:style>
  <w:style w:type="paragraph" w:styleId="Citadestacada">
    <w:name w:val="Intense Quote"/>
    <w:basedOn w:val="Normal"/>
    <w:next w:val="Normal"/>
    <w:link w:val="CitadestacadaCar"/>
    <w:uiPriority w:val="30"/>
    <w:qFormat/>
    <w:rsid w:val="00151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1ACB"/>
    <w:rPr>
      <w:i/>
      <w:iCs/>
      <w:color w:val="0F4761" w:themeColor="accent1" w:themeShade="BF"/>
    </w:rPr>
  </w:style>
  <w:style w:type="character" w:styleId="Referenciaintensa">
    <w:name w:val="Intense Reference"/>
    <w:basedOn w:val="Fuentedeprrafopredeter"/>
    <w:uiPriority w:val="32"/>
    <w:qFormat/>
    <w:rsid w:val="00151ACB"/>
    <w:rPr>
      <w:b/>
      <w:bCs/>
      <w:smallCaps/>
      <w:color w:val="0F4761" w:themeColor="accent1" w:themeShade="BF"/>
      <w:spacing w:val="5"/>
    </w:rPr>
  </w:style>
  <w:style w:type="character" w:styleId="Hipervnculo">
    <w:name w:val="Hyperlink"/>
    <w:basedOn w:val="Fuentedeprrafopredeter"/>
    <w:uiPriority w:val="99"/>
    <w:unhideWhenUsed/>
    <w:rsid w:val="00151ACB"/>
    <w:rPr>
      <w:color w:val="467886" w:themeColor="hyperlink"/>
      <w:u w:val="single"/>
    </w:rPr>
  </w:style>
  <w:style w:type="character" w:styleId="Mencinsinresolver">
    <w:name w:val="Unresolved Mention"/>
    <w:basedOn w:val="Fuentedeprrafopredeter"/>
    <w:uiPriority w:val="99"/>
    <w:semiHidden/>
    <w:unhideWhenUsed/>
    <w:rsid w:val="00151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752043">
      <w:bodyDiv w:val="1"/>
      <w:marLeft w:val="0"/>
      <w:marRight w:val="0"/>
      <w:marTop w:val="0"/>
      <w:marBottom w:val="0"/>
      <w:divBdr>
        <w:top w:val="none" w:sz="0" w:space="0" w:color="auto"/>
        <w:left w:val="none" w:sz="0" w:space="0" w:color="auto"/>
        <w:bottom w:val="none" w:sz="0" w:space="0" w:color="auto"/>
        <w:right w:val="none" w:sz="0" w:space="0" w:color="auto"/>
      </w:divBdr>
      <w:divsChild>
        <w:div w:id="426583330">
          <w:marLeft w:val="0"/>
          <w:marRight w:val="0"/>
          <w:marTop w:val="0"/>
          <w:marBottom w:val="0"/>
          <w:divBdr>
            <w:top w:val="none" w:sz="0" w:space="0" w:color="auto"/>
            <w:left w:val="none" w:sz="0" w:space="0" w:color="auto"/>
            <w:bottom w:val="none" w:sz="0" w:space="0" w:color="auto"/>
            <w:right w:val="none" w:sz="0" w:space="0" w:color="auto"/>
          </w:divBdr>
          <w:divsChild>
            <w:div w:id="1248999889">
              <w:marLeft w:val="0"/>
              <w:marRight w:val="0"/>
              <w:marTop w:val="0"/>
              <w:marBottom w:val="600"/>
              <w:divBdr>
                <w:top w:val="none" w:sz="0" w:space="0" w:color="auto"/>
                <w:left w:val="none" w:sz="0" w:space="0" w:color="auto"/>
                <w:bottom w:val="none" w:sz="0" w:space="0" w:color="auto"/>
                <w:right w:val="none" w:sz="0" w:space="0" w:color="auto"/>
              </w:divBdr>
              <w:divsChild>
                <w:div w:id="21086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232845">
          <w:marLeft w:val="0"/>
          <w:marRight w:val="0"/>
          <w:marTop w:val="0"/>
          <w:marBottom w:val="0"/>
          <w:divBdr>
            <w:top w:val="none" w:sz="0" w:space="0" w:color="auto"/>
            <w:left w:val="none" w:sz="0" w:space="0" w:color="auto"/>
            <w:bottom w:val="none" w:sz="0" w:space="0" w:color="auto"/>
            <w:right w:val="none" w:sz="0" w:space="0" w:color="auto"/>
          </w:divBdr>
          <w:divsChild>
            <w:div w:id="1729837138">
              <w:marLeft w:val="0"/>
              <w:marRight w:val="0"/>
              <w:marTop w:val="0"/>
              <w:marBottom w:val="0"/>
              <w:divBdr>
                <w:top w:val="none" w:sz="0" w:space="0" w:color="auto"/>
                <w:left w:val="none" w:sz="0" w:space="0" w:color="auto"/>
                <w:bottom w:val="none" w:sz="0" w:space="0" w:color="auto"/>
                <w:right w:val="none" w:sz="0" w:space="0" w:color="auto"/>
              </w:divBdr>
              <w:divsChild>
                <w:div w:id="1261332498">
                  <w:marLeft w:val="-1275"/>
                  <w:marRight w:val="0"/>
                  <w:marTop w:val="0"/>
                  <w:marBottom w:val="0"/>
                  <w:divBdr>
                    <w:top w:val="none" w:sz="0" w:space="0" w:color="auto"/>
                    <w:left w:val="none" w:sz="0" w:space="0" w:color="auto"/>
                    <w:bottom w:val="none" w:sz="0" w:space="0" w:color="auto"/>
                    <w:right w:val="none" w:sz="0" w:space="0" w:color="auto"/>
                  </w:divBdr>
                </w:div>
                <w:div w:id="1319267532">
                  <w:marLeft w:val="0"/>
                  <w:marRight w:val="0"/>
                  <w:marTop w:val="0"/>
                  <w:marBottom w:val="0"/>
                  <w:divBdr>
                    <w:top w:val="none" w:sz="0" w:space="0" w:color="auto"/>
                    <w:left w:val="none" w:sz="0" w:space="0" w:color="auto"/>
                    <w:bottom w:val="none" w:sz="0" w:space="0" w:color="auto"/>
                    <w:right w:val="none" w:sz="0" w:space="0" w:color="auto"/>
                  </w:divBdr>
                  <w:divsChild>
                    <w:div w:id="303044889">
                      <w:marLeft w:val="0"/>
                      <w:marRight w:val="0"/>
                      <w:marTop w:val="0"/>
                      <w:marBottom w:val="0"/>
                      <w:divBdr>
                        <w:top w:val="none" w:sz="0" w:space="0" w:color="auto"/>
                        <w:left w:val="none" w:sz="0" w:space="0" w:color="auto"/>
                        <w:bottom w:val="none" w:sz="0" w:space="0" w:color="auto"/>
                        <w:right w:val="none" w:sz="0" w:space="0" w:color="auto"/>
                      </w:divBdr>
                    </w:div>
                    <w:div w:id="1680694968">
                      <w:marLeft w:val="0"/>
                      <w:marRight w:val="0"/>
                      <w:marTop w:val="0"/>
                      <w:marBottom w:val="0"/>
                      <w:divBdr>
                        <w:top w:val="none" w:sz="0" w:space="0" w:color="auto"/>
                        <w:left w:val="none" w:sz="0" w:space="0" w:color="auto"/>
                        <w:bottom w:val="none" w:sz="0" w:space="0" w:color="auto"/>
                        <w:right w:val="none" w:sz="0" w:space="0" w:color="auto"/>
                      </w:divBdr>
                      <w:divsChild>
                        <w:div w:id="1974600656">
                          <w:marLeft w:val="0"/>
                          <w:marRight w:val="0"/>
                          <w:marTop w:val="0"/>
                          <w:marBottom w:val="0"/>
                          <w:divBdr>
                            <w:top w:val="single" w:sz="36" w:space="8" w:color="FF6363"/>
                            <w:left w:val="single" w:sz="36" w:space="0" w:color="FF6363"/>
                            <w:bottom w:val="single" w:sz="36" w:space="8" w:color="FF6363"/>
                            <w:right w:val="single" w:sz="36" w:space="0" w:color="FF6363"/>
                          </w:divBdr>
                        </w:div>
                        <w:div w:id="1349718497">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111747336">
                      <w:marLeft w:val="0"/>
                      <w:marRight w:val="0"/>
                      <w:marTop w:val="0"/>
                      <w:marBottom w:val="0"/>
                      <w:divBdr>
                        <w:top w:val="none" w:sz="0" w:space="0" w:color="auto"/>
                        <w:left w:val="none" w:sz="0" w:space="0" w:color="auto"/>
                        <w:bottom w:val="none" w:sz="0" w:space="0" w:color="auto"/>
                        <w:right w:val="none" w:sz="0" w:space="0" w:color="auto"/>
                      </w:divBdr>
                      <w:divsChild>
                        <w:div w:id="244611684">
                          <w:marLeft w:val="0"/>
                          <w:marRight w:val="0"/>
                          <w:marTop w:val="0"/>
                          <w:marBottom w:val="150"/>
                          <w:divBdr>
                            <w:top w:val="none" w:sz="0" w:space="0" w:color="auto"/>
                            <w:left w:val="none" w:sz="0" w:space="0" w:color="auto"/>
                            <w:bottom w:val="none" w:sz="0" w:space="0" w:color="auto"/>
                            <w:right w:val="none" w:sz="0" w:space="0" w:color="auto"/>
                          </w:divBdr>
                          <w:divsChild>
                            <w:div w:id="15380115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teologia_para_una_iglesia_en_salida/Paglia-Leon-XIV-Francisco-Existe-pontificado-continuidad_0_2785221461.html" TargetMode="External"/><Relationship Id="rId3" Type="http://schemas.openxmlformats.org/officeDocument/2006/relationships/settings" Target="settings.xml"/><Relationship Id="rId7" Type="http://schemas.openxmlformats.org/officeDocument/2006/relationships/hyperlink" Target="https://www.religiondigital.org/solidaridad/visitantes-asombrar-catedral-Justo-Mejorada_0_278522146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923</Words>
  <Characters>5078</Characters>
  <Application>Microsoft Office Word</Application>
  <DocSecurity>0</DocSecurity>
  <Lines>42</Lines>
  <Paragraphs>11</Paragraphs>
  <ScaleCrop>false</ScaleCrop>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2025-06-03T14:50:00Z</dcterms:created>
  <dcterms:modified xsi:type="dcterms:W3CDTF">2025-06-03T14:51:00Z</dcterms:modified>
</cp:coreProperties>
</file>